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5C53" w:rsidRPr="00661C65" w:rsidRDefault="00825C53" w:rsidP="00031C34">
      <w:pPr>
        <w:pStyle w:val="BodyText"/>
        <w:tabs>
          <w:tab w:val="left" w:pos="1701"/>
        </w:tabs>
        <w:spacing w:after="0"/>
      </w:pPr>
      <w:r w:rsidRPr="00661C65">
        <w:rPr>
          <w:b/>
        </w:rPr>
        <w:t>Source:</w:t>
      </w:r>
      <w:r w:rsidR="006B6EC0">
        <w:tab/>
      </w:r>
      <w:r w:rsidR="0042320C" w:rsidRPr="00661C65">
        <w:t>Qualcomm</w:t>
      </w:r>
      <w:r w:rsidR="00495289">
        <w:t xml:space="preserve"> Incorporated</w:t>
      </w:r>
    </w:p>
    <w:p w:rsidR="00825C53" w:rsidRDefault="00825C53" w:rsidP="00031C34">
      <w:pPr>
        <w:pStyle w:val="BodyText"/>
        <w:tabs>
          <w:tab w:val="left" w:pos="1701"/>
        </w:tabs>
        <w:spacing w:after="0"/>
      </w:pPr>
      <w:r w:rsidRPr="00661C65">
        <w:rPr>
          <w:b/>
        </w:rPr>
        <w:t xml:space="preserve">Title:   </w:t>
      </w:r>
      <w:r w:rsidRPr="00661C65">
        <w:t xml:space="preserve"> </w:t>
      </w:r>
      <w:r w:rsidRPr="00661C65">
        <w:tab/>
      </w:r>
      <w:r w:rsidR="008D5741">
        <w:t xml:space="preserve">NB-OFDMA </w:t>
      </w:r>
      <w:r w:rsidR="00572D5B">
        <w:t xml:space="preserve">Revised </w:t>
      </w:r>
      <w:r w:rsidR="008D5741">
        <w:t>Frame Structure</w:t>
      </w:r>
    </w:p>
    <w:p w:rsidR="0098008C" w:rsidRPr="0098008C" w:rsidRDefault="0098008C" w:rsidP="00031C34">
      <w:pPr>
        <w:pStyle w:val="BodyText"/>
        <w:tabs>
          <w:tab w:val="left" w:pos="1701"/>
        </w:tabs>
        <w:spacing w:after="0"/>
        <w:rPr>
          <w:sz w:val="22"/>
        </w:rPr>
      </w:pPr>
      <w:r>
        <w:rPr>
          <w:b/>
          <w:sz w:val="22"/>
        </w:rPr>
        <w:t>Agenda:</w:t>
      </w:r>
      <w:r w:rsidR="006B6EC0">
        <w:rPr>
          <w:sz w:val="22"/>
        </w:rPr>
        <w:tab/>
      </w:r>
      <w:r w:rsidR="0084696D">
        <w:t>7.</w:t>
      </w:r>
      <w:r w:rsidR="0084696D" w:rsidRPr="00934C30">
        <w:t>1.</w:t>
      </w:r>
      <w:r w:rsidR="00BD616D" w:rsidRPr="00934C30">
        <w:t>5.3.5</w:t>
      </w:r>
      <w:r w:rsidR="00B23168">
        <w:t xml:space="preserve">, </w:t>
      </w:r>
      <w:r w:rsidR="00B23168" w:rsidRPr="00934C30">
        <w:t>7.2.5.3.4</w:t>
      </w:r>
    </w:p>
    <w:p w:rsidR="009A2998" w:rsidRPr="0044681B" w:rsidRDefault="00825C53" w:rsidP="00031C34">
      <w:pPr>
        <w:pStyle w:val="BodyText"/>
        <w:tabs>
          <w:tab w:val="left" w:pos="1701"/>
        </w:tabs>
        <w:spacing w:after="0"/>
        <w:rPr>
          <w:sz w:val="22"/>
          <w:szCs w:val="22"/>
        </w:rPr>
      </w:pPr>
      <w:r w:rsidRPr="006B6EC0">
        <w:rPr>
          <w:b/>
        </w:rPr>
        <w:t>Document for:</w:t>
      </w:r>
      <w:r w:rsidRPr="00661C65">
        <w:tab/>
      </w:r>
      <w:bookmarkStart w:id="0" w:name="DocumentFor"/>
      <w:bookmarkEnd w:id="0"/>
      <w:r w:rsidR="0005379D">
        <w:t>Discussion and decision</w:t>
      </w:r>
    </w:p>
    <w:p w:rsidR="0044681B" w:rsidRDefault="0005379D" w:rsidP="0071498D">
      <w:pPr>
        <w:pStyle w:val="Heading1"/>
      </w:pPr>
      <w:r w:rsidRPr="00915F48">
        <w:t>Introduction</w:t>
      </w:r>
    </w:p>
    <w:p w:rsidR="00A45888" w:rsidRDefault="00B638B0" w:rsidP="006B6EC0">
      <w:r w:rsidRPr="00EE2162">
        <w:t>At GERAN #62 a study item was agreed to study different access stratum solutions to meet the needs for Internet of Things (</w:t>
      </w:r>
      <w:proofErr w:type="spellStart"/>
      <w:r w:rsidRPr="00EE2162">
        <w:t>IoT</w:t>
      </w:r>
      <w:proofErr w:type="spellEnd"/>
      <w:r w:rsidRPr="00EE2162">
        <w:t xml:space="preserve">) (see </w:t>
      </w:r>
      <w:r w:rsidRPr="00EE2162">
        <w:fldChar w:fldCharType="begin"/>
      </w:r>
      <w:r w:rsidRPr="00EE2162">
        <w:instrText xml:space="preserve"> REF _Ref400380424 \r \h  \* MERGEFORMAT </w:instrText>
      </w:r>
      <w:r w:rsidRPr="00EE2162">
        <w:fldChar w:fldCharType="separate"/>
      </w:r>
      <w:r>
        <w:t>[1]</w:t>
      </w:r>
      <w:r w:rsidRPr="00EE2162">
        <w:fldChar w:fldCharType="end"/>
      </w:r>
      <w:r w:rsidRPr="00EE2162">
        <w:t xml:space="preserve">). </w:t>
      </w:r>
      <w:r>
        <w:t xml:space="preserve">A narrow band OFDMA based solution was proposed in </w:t>
      </w:r>
      <w:r>
        <w:fldChar w:fldCharType="begin"/>
      </w:r>
      <w:r>
        <w:instrText xml:space="preserve"> REF _Ref401740945 \r \h </w:instrText>
      </w:r>
      <w:r>
        <w:fldChar w:fldCharType="separate"/>
      </w:r>
      <w:r>
        <w:t>[2]</w:t>
      </w:r>
      <w:r>
        <w:fldChar w:fldCharType="end"/>
      </w:r>
      <w:r>
        <w:t xml:space="preserve"> wherein the frame structure for cell radius less tha</w:t>
      </w:r>
      <w:r w:rsidR="001D4280">
        <w:t xml:space="preserve">n 9 km was described. Also in </w:t>
      </w:r>
      <w:r w:rsidR="001D4280">
        <w:fldChar w:fldCharType="begin"/>
      </w:r>
      <w:r w:rsidR="001D4280">
        <w:instrText xml:space="preserve"> REF _Ref413157213 \r \h </w:instrText>
      </w:r>
      <w:r w:rsidR="001D4280">
        <w:fldChar w:fldCharType="separate"/>
      </w:r>
      <w:r w:rsidR="001D4280">
        <w:t>[3]</w:t>
      </w:r>
      <w:r w:rsidR="001D4280">
        <w:fldChar w:fldCharType="end"/>
      </w:r>
      <w:r>
        <w:t xml:space="preserve">, cyclic prefix and PRACH design for </w:t>
      </w:r>
      <w:r w:rsidRPr="006B6EC0">
        <w:rPr>
          <w:kern w:val="0"/>
        </w:rPr>
        <w:t>extended</w:t>
      </w:r>
      <w:r>
        <w:t xml:space="preserve"> cell radius up to 35 km</w:t>
      </w:r>
      <w:r w:rsidR="00E14672">
        <w:t xml:space="preserve"> were presented. The </w:t>
      </w:r>
      <w:r w:rsidR="00572D5B">
        <w:t>tone spacing</w:t>
      </w:r>
      <w:r w:rsidR="00E14672">
        <w:t xml:space="preserve"> was chosen to be 2.25 kHz for the proposed NB-OFDMA</w:t>
      </w:r>
      <w:r w:rsidR="00055FC2">
        <w:t xml:space="preserve"> solution.</w:t>
      </w:r>
    </w:p>
    <w:p w:rsidR="00F42B1D" w:rsidRPr="00055FC2" w:rsidRDefault="00E14672" w:rsidP="00FE155C">
      <w:r>
        <w:t xml:space="preserve">To better support </w:t>
      </w:r>
      <w:r w:rsidRPr="006B6EC0">
        <w:rPr>
          <w:kern w:val="0"/>
        </w:rPr>
        <w:t>the</w:t>
      </w:r>
      <w:r>
        <w:t xml:space="preserve"> deployment of clean-slate IOT (CIOT) in small parts of licensed spectrum for LTE, a</w:t>
      </w:r>
      <w:r w:rsidR="00572D5B">
        <w:t xml:space="preserve"> possible</w:t>
      </w:r>
      <w:r>
        <w:t xml:space="preserve"> </w:t>
      </w:r>
      <w:r w:rsidR="001D4280">
        <w:t xml:space="preserve">deployment scenario </w:t>
      </w:r>
      <w:r w:rsidR="001D4280">
        <w:fldChar w:fldCharType="begin"/>
      </w:r>
      <w:r w:rsidR="001D4280">
        <w:instrText xml:space="preserve"> REF _Ref413157250 \r \h </w:instrText>
      </w:r>
      <w:r w:rsidR="001D4280">
        <w:fldChar w:fldCharType="separate"/>
      </w:r>
      <w:r w:rsidR="001D4280">
        <w:t>[4]</w:t>
      </w:r>
      <w:r w:rsidR="001D4280">
        <w:fldChar w:fldCharType="end"/>
      </w:r>
      <w:r>
        <w:t xml:space="preserve">, it is proposed to change the </w:t>
      </w:r>
      <w:r w:rsidR="006C7BB6">
        <w:t>tone spacing</w:t>
      </w:r>
      <w:r>
        <w:t xml:space="preserve"> of NB-OFDMA solution from 2.25 kHz to 2.5 kHz. </w:t>
      </w:r>
      <w:r w:rsidR="00572D5B">
        <w:t>T</w:t>
      </w:r>
      <w:r w:rsidR="00055FC2">
        <w:t>his document describe</w:t>
      </w:r>
      <w:r w:rsidR="00572D5B">
        <w:t>s</w:t>
      </w:r>
      <w:r w:rsidR="00055FC2">
        <w:t xml:space="preserve"> the benefits of 2.5 kHz subcarrier bandwidth </w:t>
      </w:r>
      <w:r w:rsidR="00B638B0">
        <w:t xml:space="preserve">and </w:t>
      </w:r>
      <w:r w:rsidR="00055FC2">
        <w:t xml:space="preserve">the associated frame structures for both normal and extended cell sizes. </w:t>
      </w:r>
    </w:p>
    <w:p w:rsidR="00F42B1D" w:rsidRDefault="008B4095" w:rsidP="00C33D02">
      <w:pPr>
        <w:pStyle w:val="Heading1"/>
      </w:pPr>
      <w:r>
        <w:t>Tone Spacing</w:t>
      </w:r>
    </w:p>
    <w:p w:rsidR="007E6DA5" w:rsidRDefault="00055FC2" w:rsidP="006B6EC0">
      <w:pPr>
        <w:rPr>
          <w:rStyle w:val="StyleLatinBodyCalibri11pt"/>
          <w:rFonts w:ascii="Times New Roman" w:hAnsi="Times New Roman" w:cs="Times New Roman"/>
          <w:sz w:val="21"/>
          <w:szCs w:val="21"/>
        </w:rPr>
      </w:pPr>
      <w:r>
        <w:rPr>
          <w:rStyle w:val="StyleLatinBodyCalibri11pt"/>
          <w:rFonts w:ascii="Times New Roman" w:hAnsi="Times New Roman" w:cs="Times New Roman"/>
          <w:sz w:val="21"/>
          <w:szCs w:val="21"/>
        </w:rPr>
        <w:t xml:space="preserve">The </w:t>
      </w:r>
      <w:r w:rsidR="008B4095">
        <w:rPr>
          <w:rStyle w:val="StyleLatinBodyCalibri11pt"/>
          <w:rFonts w:ascii="Times New Roman" w:hAnsi="Times New Roman" w:cs="Times New Roman"/>
          <w:sz w:val="21"/>
          <w:szCs w:val="21"/>
        </w:rPr>
        <w:t>tone spacing</w:t>
      </w:r>
      <w:r>
        <w:rPr>
          <w:rStyle w:val="StyleLatinBodyCalibri11pt"/>
          <w:rFonts w:ascii="Times New Roman" w:hAnsi="Times New Roman" w:cs="Times New Roman"/>
          <w:sz w:val="21"/>
          <w:szCs w:val="21"/>
        </w:rPr>
        <w:t xml:space="preserve"> </w:t>
      </w:r>
      <w:r w:rsidR="00EF4139">
        <w:rPr>
          <w:rStyle w:val="StyleLatinBodyCalibri11pt"/>
          <w:rFonts w:ascii="Times New Roman" w:hAnsi="Times New Roman" w:cs="Times New Roman"/>
          <w:sz w:val="21"/>
          <w:szCs w:val="21"/>
        </w:rPr>
        <w:t xml:space="preserve">of </w:t>
      </w:r>
      <w:r w:rsidR="007E6DA5">
        <w:rPr>
          <w:rStyle w:val="StyleLatinBodyCalibri11pt"/>
          <w:rFonts w:ascii="Times New Roman" w:hAnsi="Times New Roman" w:cs="Times New Roman"/>
          <w:sz w:val="21"/>
          <w:szCs w:val="21"/>
        </w:rPr>
        <w:t xml:space="preserve">NB-OFDMA CIOT </w:t>
      </w:r>
      <w:r>
        <w:rPr>
          <w:rStyle w:val="StyleLatinBodyCalibri11pt"/>
          <w:rFonts w:ascii="Times New Roman" w:hAnsi="Times New Roman" w:cs="Times New Roman"/>
          <w:sz w:val="21"/>
          <w:szCs w:val="21"/>
        </w:rPr>
        <w:t>was chos</w:t>
      </w:r>
      <w:r w:rsidR="00CE6A86">
        <w:rPr>
          <w:rStyle w:val="StyleLatinBodyCalibri11pt"/>
          <w:rFonts w:ascii="Times New Roman" w:hAnsi="Times New Roman" w:cs="Times New Roman"/>
          <w:sz w:val="21"/>
          <w:szCs w:val="21"/>
        </w:rPr>
        <w:t xml:space="preserve">en </w:t>
      </w:r>
      <w:r w:rsidR="00EF4139">
        <w:rPr>
          <w:rStyle w:val="StyleLatinBodyCalibri11pt"/>
          <w:rFonts w:ascii="Times New Roman" w:hAnsi="Times New Roman" w:cs="Times New Roman"/>
          <w:sz w:val="21"/>
          <w:szCs w:val="21"/>
        </w:rPr>
        <w:t>to be 2.25 kHz to maximize</w:t>
      </w:r>
      <w:r>
        <w:rPr>
          <w:rStyle w:val="StyleLatinBodyCalibri11pt"/>
          <w:rFonts w:ascii="Times New Roman" w:hAnsi="Times New Roman" w:cs="Times New Roman"/>
          <w:sz w:val="21"/>
          <w:szCs w:val="21"/>
        </w:rPr>
        <w:t xml:space="preserve"> bandwidth efficiency for the given link budget </w:t>
      </w:r>
      <w:r w:rsidR="006C7BB6">
        <w:rPr>
          <w:rStyle w:val="StyleLatinBodyCalibri11pt"/>
          <w:rFonts w:ascii="Times New Roman" w:hAnsi="Times New Roman" w:cs="Times New Roman"/>
          <w:sz w:val="21"/>
          <w:szCs w:val="21"/>
        </w:rPr>
        <w:t>with</w:t>
      </w:r>
      <w:r w:rsidR="00EF4139">
        <w:rPr>
          <w:rStyle w:val="StyleLatinBodyCalibri11pt"/>
          <w:rFonts w:ascii="Times New Roman" w:hAnsi="Times New Roman" w:cs="Times New Roman"/>
          <w:sz w:val="21"/>
          <w:szCs w:val="21"/>
        </w:rPr>
        <w:t xml:space="preserve"> a </w:t>
      </w:r>
      <w:r>
        <w:rPr>
          <w:rStyle w:val="StyleLatinBodyCalibri11pt"/>
          <w:rFonts w:ascii="Times New Roman" w:hAnsi="Times New Roman" w:cs="Times New Roman"/>
          <w:sz w:val="21"/>
          <w:szCs w:val="21"/>
        </w:rPr>
        <w:t xml:space="preserve">reasonable coding complexity. </w:t>
      </w:r>
      <w:r w:rsidR="007E6DA5">
        <w:rPr>
          <w:rStyle w:val="StyleLatinBodyCalibri11pt"/>
          <w:rFonts w:ascii="Times New Roman" w:hAnsi="Times New Roman" w:cs="Times New Roman"/>
          <w:sz w:val="21"/>
          <w:szCs w:val="21"/>
        </w:rPr>
        <w:t xml:space="preserve">If the </w:t>
      </w:r>
      <w:r w:rsidR="008B4095">
        <w:rPr>
          <w:rStyle w:val="StyleLatinBodyCalibri11pt"/>
          <w:rFonts w:ascii="Times New Roman" w:hAnsi="Times New Roman" w:cs="Times New Roman"/>
          <w:sz w:val="21"/>
          <w:szCs w:val="21"/>
        </w:rPr>
        <w:t>tone spacing</w:t>
      </w:r>
      <w:r w:rsidR="007E6DA5">
        <w:rPr>
          <w:rStyle w:val="StyleLatinBodyCalibri11pt"/>
          <w:rFonts w:ascii="Times New Roman" w:hAnsi="Times New Roman" w:cs="Times New Roman"/>
          <w:sz w:val="21"/>
          <w:szCs w:val="21"/>
        </w:rPr>
        <w:t xml:space="preserve"> of NB-OFDMA CIOT divides </w:t>
      </w:r>
      <w:r w:rsidR="008B4095">
        <w:rPr>
          <w:rStyle w:val="StyleLatinBodyCalibri11pt"/>
          <w:rFonts w:ascii="Times New Roman" w:hAnsi="Times New Roman" w:cs="Times New Roman"/>
          <w:sz w:val="21"/>
          <w:szCs w:val="21"/>
        </w:rPr>
        <w:t>the tone spacing of</w:t>
      </w:r>
      <w:r w:rsidR="007E6DA5">
        <w:rPr>
          <w:rStyle w:val="StyleLatinBodyCalibri11pt"/>
          <w:rFonts w:ascii="Times New Roman" w:hAnsi="Times New Roman" w:cs="Times New Roman"/>
          <w:sz w:val="21"/>
          <w:szCs w:val="21"/>
        </w:rPr>
        <w:t xml:space="preserve"> LTE, 15 kHz, the interference from CIOT to LTE systems will be reduced. For both the optimized bandwidth efficiency and reduced interference to LTE, it is proposed to change the subcarrier bandwidth to 2.5 kHz. Correspondingly, a NB-OFDMA symbol will be roughly as long as 6 LTE symbols (exactly 6 if excluding CP). </w:t>
      </w:r>
    </w:p>
    <w:p w:rsidR="007E6DA5" w:rsidRDefault="007E6DA5" w:rsidP="00FE155C">
      <w:pPr>
        <w:rPr>
          <w:rStyle w:val="StyleLatinBodyCalibri11pt"/>
          <w:rFonts w:ascii="Times New Roman" w:hAnsi="Times New Roman" w:cs="Times New Roman"/>
          <w:sz w:val="21"/>
          <w:szCs w:val="21"/>
        </w:rPr>
      </w:pPr>
      <w:r>
        <w:rPr>
          <w:rStyle w:val="StyleLatinBodyCalibri11pt"/>
          <w:rFonts w:ascii="Times New Roman" w:hAnsi="Times New Roman" w:cs="Times New Roman"/>
          <w:sz w:val="21"/>
          <w:szCs w:val="21"/>
        </w:rPr>
        <w:t xml:space="preserve">Suppose the difference between the carrier of a NB-OFDMA </w:t>
      </w:r>
      <w:r w:rsidR="00572D5B">
        <w:rPr>
          <w:rStyle w:val="StyleLatinBodyCalibri11pt"/>
          <w:rFonts w:ascii="Times New Roman" w:hAnsi="Times New Roman" w:cs="Times New Roman"/>
          <w:sz w:val="21"/>
          <w:szCs w:val="21"/>
        </w:rPr>
        <w:t xml:space="preserve">system </w:t>
      </w:r>
      <w:r>
        <w:rPr>
          <w:rStyle w:val="StyleLatinBodyCalibri11pt"/>
          <w:rFonts w:ascii="Times New Roman" w:hAnsi="Times New Roman" w:cs="Times New Roman"/>
          <w:sz w:val="21"/>
          <w:szCs w:val="21"/>
        </w:rPr>
        <w:t>and</w:t>
      </w:r>
      <w:r w:rsidR="000B1C36">
        <w:rPr>
          <w:rStyle w:val="StyleLatinBodyCalibri11pt"/>
          <w:rFonts w:ascii="Times New Roman" w:hAnsi="Times New Roman" w:cs="Times New Roman"/>
          <w:sz w:val="21"/>
          <w:szCs w:val="21"/>
        </w:rPr>
        <w:t xml:space="preserve"> that of</w:t>
      </w:r>
      <w:r>
        <w:rPr>
          <w:rStyle w:val="StyleLatinBodyCalibri11pt"/>
          <w:rFonts w:ascii="Times New Roman" w:hAnsi="Times New Roman" w:cs="Times New Roman"/>
          <w:sz w:val="21"/>
          <w:szCs w:val="21"/>
        </w:rPr>
        <w:t xml:space="preserve"> its neighbo</w:t>
      </w:r>
      <w:r w:rsidR="000B1C36">
        <w:rPr>
          <w:rStyle w:val="StyleLatinBodyCalibri11pt"/>
          <w:rFonts w:ascii="Times New Roman" w:hAnsi="Times New Roman" w:cs="Times New Roman"/>
          <w:sz w:val="21"/>
          <w:szCs w:val="21"/>
        </w:rPr>
        <w:t xml:space="preserve">ring LTE is an integer multiple of </w:t>
      </w:r>
      <w:r w:rsidR="00687BD2">
        <w:rPr>
          <w:rStyle w:val="StyleLatinBodyCalibri11pt"/>
          <w:rFonts w:ascii="Times New Roman" w:hAnsi="Times New Roman" w:cs="Times New Roman"/>
          <w:sz w:val="21"/>
          <w:szCs w:val="21"/>
        </w:rPr>
        <w:t>15</w:t>
      </w:r>
      <w:r w:rsidR="000B1C36">
        <w:rPr>
          <w:rStyle w:val="StyleLatinBodyCalibri11pt"/>
          <w:rFonts w:ascii="Times New Roman" w:hAnsi="Times New Roman" w:cs="Times New Roman"/>
          <w:sz w:val="21"/>
          <w:szCs w:val="21"/>
        </w:rPr>
        <w:t xml:space="preserve"> kHz, i.e</w:t>
      </w:r>
      <w:r w:rsidR="000B1C36" w:rsidRPr="00541364">
        <w:rPr>
          <w:rStyle w:val="StyleLatinBodyCalibri11pt"/>
          <w:rFonts w:ascii="Times New Roman" w:hAnsi="Times New Roman" w:cs="Times New Roman"/>
          <w:sz w:val="21"/>
          <w:szCs w:val="21"/>
        </w:rPr>
        <w:t xml:space="preserve">., </w:t>
      </w:r>
      <w:r w:rsidR="00541364" w:rsidRPr="00541364">
        <w:rPr>
          <w:rStyle w:val="StyleLatinBodyCalibri11pt"/>
          <w:rFonts w:ascii="Times New Roman" w:hAnsi="Times New Roman" w:cs="Times New Roman"/>
          <w:sz w:val="21"/>
          <w:szCs w:val="21"/>
        </w:rPr>
        <w:t>f</w:t>
      </w:r>
      <w:r w:rsidR="00541364" w:rsidRPr="00541364">
        <w:rPr>
          <w:rStyle w:val="StyleLatinBodyCalibri11pt"/>
          <w:rFonts w:ascii="Times New Roman" w:hAnsi="Times New Roman" w:cs="Times New Roman"/>
          <w:sz w:val="21"/>
          <w:szCs w:val="21"/>
          <w:vertAlign w:val="subscript"/>
        </w:rPr>
        <w:t>2</w:t>
      </w:r>
      <w:r w:rsidR="00541364" w:rsidRPr="00541364">
        <w:rPr>
          <w:rStyle w:val="StyleLatinBodyCalibri11pt"/>
          <w:rFonts w:ascii="Times New Roman" w:hAnsi="Times New Roman" w:cs="Times New Roman"/>
          <w:sz w:val="21"/>
          <w:szCs w:val="21"/>
        </w:rPr>
        <w:t>-f</w:t>
      </w:r>
      <w:r w:rsidR="00541364" w:rsidRPr="00541364">
        <w:rPr>
          <w:rStyle w:val="StyleLatinBodyCalibri11pt"/>
          <w:rFonts w:ascii="Times New Roman" w:hAnsi="Times New Roman" w:cs="Times New Roman"/>
          <w:sz w:val="21"/>
          <w:szCs w:val="21"/>
          <w:vertAlign w:val="subscript"/>
        </w:rPr>
        <w:t>1</w:t>
      </w:r>
      <w:r w:rsidR="00EF4139">
        <w:rPr>
          <w:rStyle w:val="StyleLatinBodyCalibri11pt"/>
          <w:rFonts w:ascii="Times New Roman" w:hAnsi="Times New Roman" w:cs="Times New Roman"/>
          <w:sz w:val="21"/>
          <w:szCs w:val="21"/>
        </w:rPr>
        <w:t>=</w:t>
      </w:r>
      <w:r w:rsidR="00687BD2">
        <w:rPr>
          <w:rStyle w:val="StyleLatinBodyCalibri11pt"/>
          <w:rFonts w:ascii="Times New Roman" w:hAnsi="Times New Roman" w:cs="Times New Roman"/>
          <w:sz w:val="21"/>
          <w:szCs w:val="21"/>
        </w:rPr>
        <w:t>15</w:t>
      </w:r>
      <w:r w:rsidR="00EF4139">
        <w:rPr>
          <w:rStyle w:val="StyleLatinBodyCalibri11pt"/>
          <w:rFonts w:ascii="Times New Roman" w:hAnsi="Times New Roman" w:cs="Times New Roman"/>
          <w:sz w:val="21"/>
          <w:szCs w:val="21"/>
        </w:rPr>
        <w:t xml:space="preserve">*N kHz for any integer N and also assume that the LTE symbol falls completely inside the longer CIOT symbol, then </w:t>
      </w:r>
      <w:r w:rsidR="00541364">
        <w:rPr>
          <w:rStyle w:val="StyleLatinBodyCalibri11pt"/>
          <w:rFonts w:ascii="Times New Roman" w:hAnsi="Times New Roman" w:cs="Times New Roman"/>
          <w:sz w:val="21"/>
          <w:szCs w:val="21"/>
        </w:rPr>
        <w:t>the cross-correlation of the two signals is zero, i.e.,</w:t>
      </w:r>
    </w:p>
    <w:p w:rsidR="00541364" w:rsidRPr="00541364" w:rsidRDefault="00D92FD6" w:rsidP="006B6EC0">
      <w:pPr>
        <w:rPr>
          <w:rStyle w:val="StyleLatinBodyCalibri11pt"/>
          <w:rFonts w:ascii="Times New Roman" w:hAnsi="Times New Roman" w:cs="Times New Roman"/>
          <w:sz w:val="21"/>
          <w:szCs w:val="21"/>
        </w:rPr>
      </w:pPr>
      <m:oMathPara>
        <m:oMath>
          <m:nary>
            <m:naryPr>
              <m:limLoc m:val="subSup"/>
              <m:ctrlPr>
                <w:rPr>
                  <w:rStyle w:val="StyleLatinBodyCalibri11pt"/>
                  <w:rFonts w:ascii="Cambria Math" w:hAnsi="Cambria Math" w:cs="Times New Roman"/>
                  <w:i/>
                  <w:sz w:val="21"/>
                  <w:szCs w:val="21"/>
                </w:rPr>
              </m:ctrlPr>
            </m:naryPr>
            <m:sub>
              <m:r>
                <w:rPr>
                  <w:rStyle w:val="StyleLatinBodyCalibri11pt"/>
                  <w:rFonts w:ascii="Cambria Math" w:hAnsi="Cambria Math" w:cs="Times New Roman"/>
                  <w:sz w:val="21"/>
                  <w:szCs w:val="21"/>
                </w:rPr>
                <m:t>0</m:t>
              </m:r>
            </m:sub>
            <m:sup>
              <m:r>
                <w:rPr>
                  <w:rStyle w:val="StyleLatinBodyCalibri11pt"/>
                  <w:rFonts w:ascii="Cambria Math" w:hAnsi="Cambria Math" w:cs="Times New Roman"/>
                  <w:sz w:val="21"/>
                  <w:szCs w:val="21"/>
                </w:rPr>
                <m:t>T</m:t>
              </m:r>
            </m:sup>
            <m:e>
              <m:sSub>
                <m:sSubPr>
                  <m:ctrlPr>
                    <w:rPr>
                      <w:rStyle w:val="StyleLatinBodyCalibri11pt"/>
                      <w:rFonts w:ascii="Cambria Math" w:hAnsi="Cambria Math" w:cs="Times New Roman"/>
                      <w:i/>
                      <w:sz w:val="21"/>
                      <w:szCs w:val="21"/>
                    </w:rPr>
                  </m:ctrlPr>
                </m:sSubPr>
                <m:e>
                  <m:r>
                    <w:rPr>
                      <w:rStyle w:val="StyleLatinBodyCalibri11pt"/>
                      <w:rFonts w:ascii="Cambria Math" w:hAnsi="Cambria Math" w:cs="Times New Roman"/>
                      <w:sz w:val="21"/>
                      <w:szCs w:val="21"/>
                    </w:rPr>
                    <m:t>A</m:t>
                  </m:r>
                </m:e>
                <m:sub>
                  <m:r>
                    <w:rPr>
                      <w:rStyle w:val="StyleLatinBodyCalibri11pt"/>
                      <w:rFonts w:ascii="Cambria Math" w:hAnsi="Cambria Math" w:cs="Times New Roman"/>
                      <w:sz w:val="21"/>
                      <w:szCs w:val="21"/>
                    </w:rPr>
                    <m:t>1</m:t>
                  </m:r>
                </m:sub>
              </m:sSub>
              <m:sSub>
                <m:sSubPr>
                  <m:ctrlPr>
                    <w:rPr>
                      <w:rStyle w:val="StyleLatinBodyCalibri11pt"/>
                      <w:rFonts w:ascii="Cambria Math" w:hAnsi="Cambria Math" w:cs="Times New Roman"/>
                      <w:i/>
                      <w:sz w:val="21"/>
                      <w:szCs w:val="21"/>
                    </w:rPr>
                  </m:ctrlPr>
                </m:sSubPr>
                <m:e>
                  <m:r>
                    <w:rPr>
                      <w:rStyle w:val="StyleLatinBodyCalibri11pt"/>
                      <w:rFonts w:ascii="Cambria Math" w:hAnsi="Cambria Math" w:cs="Times New Roman"/>
                      <w:sz w:val="21"/>
                      <w:szCs w:val="21"/>
                    </w:rPr>
                    <m:t>A</m:t>
                  </m:r>
                </m:e>
                <m:sub>
                  <m:r>
                    <w:rPr>
                      <w:rStyle w:val="StyleLatinBodyCalibri11pt"/>
                      <w:rFonts w:ascii="Cambria Math" w:hAnsi="Cambria Math" w:cs="Times New Roman"/>
                      <w:sz w:val="21"/>
                      <w:szCs w:val="21"/>
                    </w:rPr>
                    <m:t>2</m:t>
                  </m:r>
                </m:sub>
              </m:sSub>
            </m:e>
          </m:nary>
          <m:func>
            <m:funcPr>
              <m:ctrlPr>
                <w:rPr>
                  <w:rStyle w:val="StyleLatinBodyCalibri11pt"/>
                  <w:rFonts w:ascii="Cambria Math" w:hAnsi="Cambria Math" w:cs="Times New Roman"/>
                  <w:sz w:val="21"/>
                  <w:szCs w:val="21"/>
                </w:rPr>
              </m:ctrlPr>
            </m:funcPr>
            <m:fName>
              <m:r>
                <m:rPr>
                  <m:sty m:val="p"/>
                </m:rPr>
                <w:rPr>
                  <w:rStyle w:val="StyleLatinBodyCalibri11pt"/>
                  <w:rFonts w:ascii="Cambria Math" w:hAnsi="Cambria Math" w:cs="Times New Roman"/>
                  <w:sz w:val="21"/>
                  <w:szCs w:val="21"/>
                </w:rPr>
                <m:t>exp</m:t>
              </m:r>
            </m:fName>
            <m:e>
              <m:d>
                <m:dPr>
                  <m:ctrlPr>
                    <w:rPr>
                      <w:rStyle w:val="StyleLatinBodyCalibri11pt"/>
                      <w:rFonts w:ascii="Cambria Math" w:hAnsi="Cambria Math" w:cs="Times New Roman"/>
                      <w:i/>
                      <w:sz w:val="21"/>
                      <w:szCs w:val="21"/>
                    </w:rPr>
                  </m:ctrlPr>
                </m:dPr>
                <m:e>
                  <m:r>
                    <w:rPr>
                      <w:rStyle w:val="StyleLatinBodyCalibri11pt"/>
                      <w:rFonts w:ascii="Cambria Math" w:hAnsi="Cambria Math" w:cs="Times New Roman"/>
                      <w:sz w:val="21"/>
                      <w:szCs w:val="21"/>
                    </w:rPr>
                    <m:t>-j2π</m:t>
                  </m:r>
                  <m:sSub>
                    <m:sSubPr>
                      <m:ctrlPr>
                        <w:rPr>
                          <w:rStyle w:val="StyleLatinBodyCalibri11pt"/>
                          <w:rFonts w:ascii="Cambria Math" w:hAnsi="Cambria Math" w:cs="Times New Roman"/>
                          <w:i/>
                          <w:sz w:val="21"/>
                          <w:szCs w:val="21"/>
                        </w:rPr>
                      </m:ctrlPr>
                    </m:sSubPr>
                    <m:e>
                      <m:r>
                        <w:rPr>
                          <w:rStyle w:val="StyleLatinBodyCalibri11pt"/>
                          <w:rFonts w:ascii="Cambria Math" w:hAnsi="Cambria Math" w:cs="Times New Roman"/>
                          <w:sz w:val="21"/>
                          <w:szCs w:val="21"/>
                        </w:rPr>
                        <m:t>f</m:t>
                      </m:r>
                    </m:e>
                    <m:sub>
                      <m:r>
                        <w:rPr>
                          <w:rStyle w:val="StyleLatinBodyCalibri11pt"/>
                          <w:rFonts w:ascii="Cambria Math" w:hAnsi="Cambria Math" w:cs="Times New Roman"/>
                          <w:sz w:val="21"/>
                          <w:szCs w:val="21"/>
                        </w:rPr>
                        <m:t xml:space="preserve">1 </m:t>
                      </m:r>
                    </m:sub>
                  </m:sSub>
                  <m:r>
                    <w:rPr>
                      <w:rStyle w:val="StyleLatinBodyCalibri11pt"/>
                      <w:rFonts w:ascii="Cambria Math" w:hAnsi="Cambria Math" w:cs="Times New Roman"/>
                      <w:sz w:val="21"/>
                      <w:szCs w:val="21"/>
                    </w:rPr>
                    <m:t>t+</m:t>
                  </m:r>
                  <m:sSub>
                    <m:sSubPr>
                      <m:ctrlPr>
                        <w:rPr>
                          <w:rStyle w:val="StyleLatinBodyCalibri11pt"/>
                          <w:rFonts w:ascii="Cambria Math" w:hAnsi="Cambria Math" w:cs="Times New Roman"/>
                          <w:i/>
                          <w:sz w:val="21"/>
                          <w:szCs w:val="21"/>
                        </w:rPr>
                      </m:ctrlPr>
                    </m:sSubPr>
                    <m:e>
                      <m:r>
                        <w:rPr>
                          <w:rStyle w:val="StyleLatinBodyCalibri11pt"/>
                          <w:rFonts w:ascii="Cambria Math" w:hAnsi="Cambria Math" w:cs="Times New Roman"/>
                          <w:sz w:val="21"/>
                          <w:szCs w:val="21"/>
                        </w:rPr>
                        <m:t>θ</m:t>
                      </m:r>
                    </m:e>
                    <m:sub>
                      <m:r>
                        <w:rPr>
                          <w:rStyle w:val="StyleLatinBodyCalibri11pt"/>
                          <w:rFonts w:ascii="Cambria Math" w:hAnsi="Cambria Math" w:cs="Times New Roman"/>
                          <w:sz w:val="21"/>
                          <w:szCs w:val="21"/>
                        </w:rPr>
                        <m:t>1</m:t>
                      </m:r>
                    </m:sub>
                  </m:sSub>
                </m:e>
              </m:d>
            </m:e>
          </m:func>
          <m:func>
            <m:funcPr>
              <m:ctrlPr>
                <w:rPr>
                  <w:rStyle w:val="StyleLatinBodyCalibri11pt"/>
                  <w:rFonts w:ascii="Cambria Math" w:hAnsi="Cambria Math" w:cs="Times New Roman"/>
                  <w:i/>
                  <w:sz w:val="21"/>
                  <w:szCs w:val="21"/>
                </w:rPr>
              </m:ctrlPr>
            </m:funcPr>
            <m:fName>
              <m:r>
                <m:rPr>
                  <m:sty m:val="p"/>
                </m:rPr>
                <w:rPr>
                  <w:rStyle w:val="StyleLatinBodyCalibri11pt"/>
                  <w:rFonts w:ascii="Cambria Math" w:hAnsi="Cambria Math" w:cs="Times New Roman"/>
                  <w:sz w:val="21"/>
                  <w:szCs w:val="21"/>
                </w:rPr>
                <m:t>exp</m:t>
              </m:r>
            </m:fName>
            <m:e>
              <m:d>
                <m:dPr>
                  <m:ctrlPr>
                    <w:rPr>
                      <w:rStyle w:val="StyleLatinBodyCalibri11pt"/>
                      <w:rFonts w:ascii="Cambria Math" w:hAnsi="Cambria Math" w:cs="Times New Roman"/>
                      <w:i/>
                      <w:sz w:val="21"/>
                      <w:szCs w:val="21"/>
                    </w:rPr>
                  </m:ctrlPr>
                </m:dPr>
                <m:e>
                  <m:r>
                    <w:rPr>
                      <w:rStyle w:val="StyleLatinBodyCalibri11pt"/>
                      <w:rFonts w:ascii="Cambria Math" w:hAnsi="Cambria Math" w:cs="Times New Roman"/>
                      <w:sz w:val="21"/>
                      <w:szCs w:val="21"/>
                    </w:rPr>
                    <m:t>-j2π</m:t>
                  </m:r>
                  <m:sSub>
                    <m:sSubPr>
                      <m:ctrlPr>
                        <w:rPr>
                          <w:rStyle w:val="StyleLatinBodyCalibri11pt"/>
                          <w:rFonts w:ascii="Cambria Math" w:hAnsi="Cambria Math" w:cs="Times New Roman"/>
                          <w:i/>
                          <w:sz w:val="21"/>
                          <w:szCs w:val="21"/>
                        </w:rPr>
                      </m:ctrlPr>
                    </m:sSubPr>
                    <m:e>
                      <m:r>
                        <w:rPr>
                          <w:rStyle w:val="StyleLatinBodyCalibri11pt"/>
                          <w:rFonts w:ascii="Cambria Math" w:hAnsi="Cambria Math" w:cs="Times New Roman"/>
                          <w:sz w:val="21"/>
                          <w:szCs w:val="21"/>
                        </w:rPr>
                        <m:t>f</m:t>
                      </m:r>
                    </m:e>
                    <m:sub>
                      <m:r>
                        <w:rPr>
                          <w:rStyle w:val="StyleLatinBodyCalibri11pt"/>
                          <w:rFonts w:ascii="Cambria Math" w:hAnsi="Cambria Math" w:cs="Times New Roman"/>
                          <w:sz w:val="21"/>
                          <w:szCs w:val="21"/>
                        </w:rPr>
                        <m:t xml:space="preserve">2 </m:t>
                      </m:r>
                    </m:sub>
                  </m:sSub>
                  <m:r>
                    <w:rPr>
                      <w:rStyle w:val="StyleLatinBodyCalibri11pt"/>
                      <w:rFonts w:ascii="Cambria Math" w:hAnsi="Cambria Math" w:cs="Times New Roman"/>
                      <w:sz w:val="21"/>
                      <w:szCs w:val="21"/>
                    </w:rPr>
                    <m:t>t+</m:t>
                  </m:r>
                  <m:sSub>
                    <m:sSubPr>
                      <m:ctrlPr>
                        <w:rPr>
                          <w:rStyle w:val="StyleLatinBodyCalibri11pt"/>
                          <w:rFonts w:ascii="Cambria Math" w:hAnsi="Cambria Math" w:cs="Times New Roman"/>
                          <w:i/>
                          <w:sz w:val="21"/>
                          <w:szCs w:val="21"/>
                        </w:rPr>
                      </m:ctrlPr>
                    </m:sSubPr>
                    <m:e>
                      <m:r>
                        <w:rPr>
                          <w:rStyle w:val="StyleLatinBodyCalibri11pt"/>
                          <w:rFonts w:ascii="Cambria Math" w:hAnsi="Cambria Math" w:cs="Times New Roman"/>
                          <w:sz w:val="21"/>
                          <w:szCs w:val="21"/>
                        </w:rPr>
                        <m:t>θ</m:t>
                      </m:r>
                    </m:e>
                    <m:sub>
                      <m:r>
                        <w:rPr>
                          <w:rStyle w:val="StyleLatinBodyCalibri11pt"/>
                          <w:rFonts w:ascii="Cambria Math" w:hAnsi="Cambria Math" w:cs="Times New Roman"/>
                          <w:sz w:val="21"/>
                          <w:szCs w:val="21"/>
                        </w:rPr>
                        <m:t>2</m:t>
                      </m:r>
                    </m:sub>
                  </m:sSub>
                </m:e>
              </m:d>
            </m:e>
          </m:func>
          <m:r>
            <w:rPr>
              <w:rStyle w:val="StyleLatinBodyCalibri11pt"/>
              <w:rFonts w:ascii="Cambria Math" w:hAnsi="Cambria Math" w:cs="Times New Roman"/>
              <w:sz w:val="21"/>
              <w:szCs w:val="21"/>
            </w:rPr>
            <m:t>=0</m:t>
          </m:r>
        </m:oMath>
      </m:oMathPara>
    </w:p>
    <w:p w:rsidR="002F60BE" w:rsidRDefault="00541364" w:rsidP="006B6EC0">
      <w:pPr>
        <w:rPr>
          <w:rStyle w:val="StyleLatinBodyCalibri11pt"/>
          <w:rFonts w:ascii="Times New Roman" w:hAnsi="Times New Roman" w:cs="Times New Roman"/>
          <w:sz w:val="21"/>
          <w:szCs w:val="21"/>
        </w:rPr>
      </w:pPr>
      <w:proofErr w:type="gramStart"/>
      <w:r>
        <w:rPr>
          <w:rStyle w:val="StyleLatinBodyCalibri11pt"/>
          <w:rFonts w:ascii="Times New Roman" w:hAnsi="Times New Roman" w:cs="Times New Roman"/>
          <w:sz w:val="21"/>
          <w:szCs w:val="21"/>
        </w:rPr>
        <w:t>where</w:t>
      </w:r>
      <w:proofErr w:type="gramEnd"/>
      <w:r>
        <w:rPr>
          <w:rStyle w:val="StyleLatinBodyCalibri11pt"/>
          <w:rFonts w:ascii="Times New Roman" w:hAnsi="Times New Roman" w:cs="Times New Roman"/>
          <w:sz w:val="21"/>
          <w:szCs w:val="21"/>
        </w:rPr>
        <w:t xml:space="preserve"> A</w:t>
      </w:r>
      <w:r w:rsidRPr="00541364">
        <w:rPr>
          <w:rStyle w:val="StyleLatinBodyCalibri11pt"/>
          <w:rFonts w:ascii="Times New Roman" w:hAnsi="Times New Roman" w:cs="Times New Roman"/>
          <w:sz w:val="21"/>
          <w:szCs w:val="21"/>
          <w:vertAlign w:val="subscript"/>
        </w:rPr>
        <w:t>i</w:t>
      </w:r>
      <w:r>
        <w:rPr>
          <w:rStyle w:val="StyleLatinBodyCalibri11pt"/>
          <w:rFonts w:ascii="Times New Roman" w:hAnsi="Times New Roman" w:cs="Times New Roman"/>
          <w:sz w:val="21"/>
          <w:szCs w:val="21"/>
        </w:rPr>
        <w:t>, f</w:t>
      </w:r>
      <w:r w:rsidRPr="00541364">
        <w:rPr>
          <w:rStyle w:val="StyleLatinBodyCalibri11pt"/>
          <w:rFonts w:ascii="Times New Roman" w:hAnsi="Times New Roman" w:cs="Times New Roman"/>
          <w:sz w:val="21"/>
          <w:szCs w:val="21"/>
          <w:vertAlign w:val="subscript"/>
        </w:rPr>
        <w:t>i</w:t>
      </w:r>
      <w:r>
        <w:rPr>
          <w:rStyle w:val="StyleLatinBodyCalibri11pt"/>
          <w:rFonts w:ascii="Times New Roman" w:hAnsi="Times New Roman" w:cs="Times New Roman"/>
          <w:sz w:val="21"/>
          <w:szCs w:val="21"/>
        </w:rPr>
        <w:t xml:space="preserve">, and </w:t>
      </w:r>
      <w:proofErr w:type="spellStart"/>
      <w:r>
        <w:rPr>
          <w:rStyle w:val="StyleLatinBodyCalibri11pt"/>
          <w:rFonts w:ascii="Times New Roman" w:hAnsi="Times New Roman" w:cs="Times New Roman"/>
          <w:sz w:val="21"/>
          <w:szCs w:val="21"/>
        </w:rPr>
        <w:t>t</w:t>
      </w:r>
      <w:r w:rsidRPr="00541364">
        <w:rPr>
          <w:rStyle w:val="StyleLatinBodyCalibri11pt"/>
          <w:rFonts w:ascii="Times New Roman" w:hAnsi="Times New Roman" w:cs="Times New Roman"/>
          <w:sz w:val="21"/>
          <w:szCs w:val="21"/>
          <w:vertAlign w:val="subscript"/>
        </w:rPr>
        <w:t>i</w:t>
      </w:r>
      <w:proofErr w:type="spellEnd"/>
      <w:r w:rsidRPr="00541364">
        <w:rPr>
          <w:rStyle w:val="StyleLatinBodyCalibri11pt"/>
          <w:rFonts w:ascii="Times New Roman" w:hAnsi="Times New Roman" w:cs="Times New Roman"/>
          <w:sz w:val="21"/>
          <w:szCs w:val="21"/>
          <w:vertAlign w:val="subscript"/>
        </w:rPr>
        <w:t xml:space="preserve"> </w:t>
      </w:r>
      <w:r>
        <w:rPr>
          <w:rStyle w:val="StyleLatinBodyCalibri11pt"/>
          <w:rFonts w:ascii="Times New Roman" w:hAnsi="Times New Roman" w:cs="Times New Roman"/>
          <w:sz w:val="21"/>
          <w:szCs w:val="21"/>
        </w:rPr>
        <w:t xml:space="preserve">are, respectively, the amplitude, frequency, and phase of LTE signal when </w:t>
      </w:r>
      <w:proofErr w:type="spellStart"/>
      <w:r>
        <w:rPr>
          <w:rStyle w:val="StyleLatinBodyCalibri11pt"/>
          <w:rFonts w:ascii="Times New Roman" w:hAnsi="Times New Roman" w:cs="Times New Roman"/>
          <w:sz w:val="21"/>
          <w:szCs w:val="21"/>
        </w:rPr>
        <w:t>i</w:t>
      </w:r>
      <w:proofErr w:type="spellEnd"/>
      <w:r>
        <w:rPr>
          <w:rStyle w:val="StyleLatinBodyCalibri11pt"/>
          <w:rFonts w:ascii="Times New Roman" w:hAnsi="Times New Roman" w:cs="Times New Roman"/>
          <w:sz w:val="21"/>
          <w:szCs w:val="21"/>
        </w:rPr>
        <w:t xml:space="preserve">=1 and CIOT signal when </w:t>
      </w:r>
      <w:proofErr w:type="spellStart"/>
      <w:r>
        <w:rPr>
          <w:rStyle w:val="StyleLatinBodyCalibri11pt"/>
          <w:rFonts w:ascii="Times New Roman" w:hAnsi="Times New Roman" w:cs="Times New Roman"/>
          <w:sz w:val="21"/>
          <w:szCs w:val="21"/>
        </w:rPr>
        <w:t>i</w:t>
      </w:r>
      <w:proofErr w:type="spellEnd"/>
      <w:r>
        <w:rPr>
          <w:rStyle w:val="StyleLatinBodyCalibri11pt"/>
          <w:rFonts w:ascii="Times New Roman" w:hAnsi="Times New Roman" w:cs="Times New Roman"/>
          <w:sz w:val="21"/>
          <w:szCs w:val="21"/>
        </w:rPr>
        <w:t xml:space="preserve">=2. </w:t>
      </w:r>
      <w:r w:rsidR="00687BD2">
        <w:rPr>
          <w:rStyle w:val="StyleLatinBodyCalibri11pt"/>
          <w:rFonts w:ascii="Times New Roman" w:hAnsi="Times New Roman" w:cs="Times New Roman"/>
          <w:sz w:val="21"/>
          <w:szCs w:val="21"/>
        </w:rPr>
        <w:t>Furthermore, the cross-correlation of the corresponding discrete signals, sampled at 1/T Hz is also 0, where T is the duration of the LTE symbol. The above observation is depicted in Figure 1.</w:t>
      </w:r>
      <w:r w:rsidR="002F60BE">
        <w:rPr>
          <w:rStyle w:val="StyleLatinBodyCalibri11pt"/>
          <w:rFonts w:ascii="Times New Roman" w:hAnsi="Times New Roman" w:cs="Times New Roman"/>
          <w:sz w:val="21"/>
          <w:szCs w:val="21"/>
        </w:rPr>
        <w:t xml:space="preserve"> </w:t>
      </w:r>
    </w:p>
    <w:p w:rsidR="00FC45C8" w:rsidRDefault="002F60BE" w:rsidP="00FE155C">
      <w:pPr>
        <w:rPr>
          <w:rStyle w:val="StyleLatinBodyCalibri11pt"/>
          <w:rFonts w:ascii="Times New Roman" w:hAnsi="Times New Roman" w:cs="Times New Roman"/>
          <w:sz w:val="21"/>
          <w:szCs w:val="21"/>
        </w:rPr>
      </w:pPr>
      <w:r>
        <w:rPr>
          <w:rStyle w:val="StyleLatinBodyCalibri11pt"/>
          <w:rFonts w:ascii="Times New Roman" w:hAnsi="Times New Roman" w:cs="Times New Roman"/>
          <w:sz w:val="21"/>
          <w:szCs w:val="21"/>
        </w:rPr>
        <w:t xml:space="preserve">As can be seen, even </w:t>
      </w:r>
      <w:r w:rsidR="00B453BB">
        <w:rPr>
          <w:rStyle w:val="StyleLatinBodyCalibri11pt"/>
          <w:rFonts w:ascii="Times New Roman" w:hAnsi="Times New Roman" w:cs="Times New Roman"/>
          <w:sz w:val="21"/>
          <w:szCs w:val="21"/>
        </w:rPr>
        <w:t>the</w:t>
      </w:r>
      <w:r>
        <w:rPr>
          <w:rStyle w:val="StyleLatinBodyCalibri11pt"/>
          <w:rFonts w:ascii="Times New Roman" w:hAnsi="Times New Roman" w:cs="Times New Roman"/>
          <w:sz w:val="21"/>
          <w:szCs w:val="21"/>
        </w:rPr>
        <w:t xml:space="preserve"> two systems</w:t>
      </w:r>
      <w:r w:rsidR="00B453BB">
        <w:rPr>
          <w:rStyle w:val="StyleLatinBodyCalibri11pt"/>
          <w:rFonts w:ascii="Times New Roman" w:hAnsi="Times New Roman" w:cs="Times New Roman"/>
          <w:sz w:val="21"/>
          <w:szCs w:val="21"/>
        </w:rPr>
        <w:t xml:space="preserve"> are asynchronous</w:t>
      </w:r>
      <w:r>
        <w:rPr>
          <w:rStyle w:val="StyleLatinBodyCalibri11pt"/>
          <w:rFonts w:ascii="Times New Roman" w:hAnsi="Times New Roman" w:cs="Times New Roman"/>
          <w:sz w:val="21"/>
          <w:szCs w:val="21"/>
        </w:rPr>
        <w:t xml:space="preserve">, every 5 out of 7 LTE symbols will not suffer from interference from CIOT tones that are separate from the LTE carrier by an integer multiple of 15 kHz. </w:t>
      </w:r>
      <w:r w:rsidR="00572D5B">
        <w:rPr>
          <w:rStyle w:val="StyleLatinBodyCalibri11pt"/>
          <w:rFonts w:ascii="Times New Roman" w:hAnsi="Times New Roman" w:cs="Times New Roman"/>
          <w:sz w:val="21"/>
          <w:szCs w:val="21"/>
        </w:rPr>
        <w:t>More interference reduction can be achieved b</w:t>
      </w:r>
      <w:r>
        <w:rPr>
          <w:rStyle w:val="StyleLatinBodyCalibri11pt"/>
          <w:rFonts w:ascii="Times New Roman" w:hAnsi="Times New Roman" w:cs="Times New Roman"/>
          <w:sz w:val="21"/>
          <w:szCs w:val="21"/>
        </w:rPr>
        <w:t xml:space="preserve">y allocating </w:t>
      </w:r>
      <w:r w:rsidR="00FC45C8">
        <w:rPr>
          <w:rStyle w:val="StyleLatinBodyCalibri11pt"/>
          <w:rFonts w:ascii="Times New Roman" w:hAnsi="Times New Roman" w:cs="Times New Roman"/>
          <w:sz w:val="21"/>
          <w:szCs w:val="21"/>
        </w:rPr>
        <w:t xml:space="preserve">UEs associated with </w:t>
      </w:r>
      <w:r>
        <w:rPr>
          <w:rStyle w:val="StyleLatinBodyCalibri11pt"/>
          <w:rFonts w:ascii="Times New Roman" w:hAnsi="Times New Roman" w:cs="Times New Roman"/>
          <w:sz w:val="21"/>
          <w:szCs w:val="21"/>
        </w:rPr>
        <w:t xml:space="preserve">larger power on non-interfering CIOT tones. </w:t>
      </w:r>
    </w:p>
    <w:p w:rsidR="00E25587" w:rsidRDefault="00E25587" w:rsidP="00FE155C">
      <w:pPr>
        <w:rPr>
          <w:rStyle w:val="StyleLatinBodyCalibri11pt"/>
          <w:rFonts w:ascii="Times New Roman" w:hAnsi="Times New Roman" w:cs="Times New Roman"/>
          <w:sz w:val="21"/>
          <w:szCs w:val="21"/>
        </w:rPr>
      </w:pPr>
    </w:p>
    <w:p w:rsidR="001B1AEF" w:rsidRDefault="00FC45C8" w:rsidP="001B1AEF">
      <w:pPr>
        <w:ind w:firstLine="420"/>
        <w:rPr>
          <w:rStyle w:val="StyleLatinBodyCalibri11pt"/>
          <w:rFonts w:ascii="Times New Roman" w:hAnsi="Times New Roman" w:cs="Times New Roman"/>
          <w:sz w:val="21"/>
          <w:szCs w:val="21"/>
        </w:rPr>
      </w:pPr>
      <w:r>
        <w:rPr>
          <w:rStyle w:val="StyleLatinBodyCalibri11pt"/>
          <w:rFonts w:ascii="Times New Roman" w:hAnsi="Times New Roman" w:cs="Times New Roman"/>
          <w:sz w:val="21"/>
          <w:szCs w:val="21"/>
        </w:rPr>
        <w:lastRenderedPageBreak/>
        <w:t>To ensure an integer multiple of 15 kHz separation for 1/6 of the CIOT tones, it only requires that the two carriers are separated by an integer multiple of 2.5 kHz</w:t>
      </w:r>
      <w:r w:rsidR="00572D5B">
        <w:rPr>
          <w:rStyle w:val="StyleLatinBodyCalibri11pt"/>
          <w:rFonts w:ascii="Times New Roman" w:hAnsi="Times New Roman" w:cs="Times New Roman"/>
          <w:sz w:val="21"/>
          <w:szCs w:val="21"/>
        </w:rPr>
        <w:t>, which can be easily satisfied in various deployment options in licensed LTE spectrum</w:t>
      </w:r>
      <w:r>
        <w:rPr>
          <w:rStyle w:val="StyleLatinBodyCalibri11pt"/>
          <w:rFonts w:ascii="Times New Roman" w:hAnsi="Times New Roman" w:cs="Times New Roman"/>
          <w:sz w:val="21"/>
          <w:szCs w:val="21"/>
        </w:rPr>
        <w:t>.</w:t>
      </w:r>
      <w:r w:rsidR="001B1AEF">
        <w:rPr>
          <w:rStyle w:val="StyleLatinBodyCalibri11pt"/>
          <w:rFonts w:ascii="Times New Roman" w:hAnsi="Times New Roman" w:cs="Times New Roman"/>
          <w:sz w:val="21"/>
          <w:szCs w:val="21"/>
        </w:rPr>
        <w:t xml:space="preserve"> </w:t>
      </w:r>
    </w:p>
    <w:p w:rsidR="00FC45C8" w:rsidRDefault="008327F9" w:rsidP="008327F9">
      <w:pPr>
        <w:spacing w:after="0"/>
        <w:jc w:val="center"/>
      </w:pPr>
      <w:r>
        <w:rPr>
          <w:rStyle w:val="StyleLatinBodyCalibri11pt"/>
          <w:rFonts w:ascii="Times New Roman" w:hAnsi="Times New Roman" w:cs="Times New Roman"/>
          <w:sz w:val="21"/>
          <w:szCs w:val="21"/>
        </w:rPr>
        <w:object w:dxaOrig="13964" w:dyaOrig="4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4pt;height:158.4pt" o:ole="">
            <v:imagedata r:id="rId8" o:title=""/>
          </v:shape>
          <o:OLEObject Type="Embed" ProgID="Visio.Drawing.11" ShapeID="_x0000_i1025" DrawAspect="Content" ObjectID="_1486905947" r:id="rId9"/>
        </w:object>
      </w:r>
    </w:p>
    <w:p w:rsidR="000D1B99" w:rsidRDefault="00FC45C8" w:rsidP="008327F9">
      <w:pPr>
        <w:pStyle w:val="Caption"/>
        <w:jc w:val="center"/>
        <w:rPr>
          <w:rStyle w:val="StyleLatinBodyCalibri11pt"/>
          <w:rFonts w:ascii="Times New Roman" w:hAnsi="Times New Roman" w:cs="Times New Roman"/>
          <w:sz w:val="21"/>
          <w:szCs w:val="21"/>
        </w:rPr>
      </w:pPr>
      <w:r>
        <w:t xml:space="preserve">Figure </w:t>
      </w:r>
      <w:r w:rsidR="00D92FD6">
        <w:fldChar w:fldCharType="begin"/>
      </w:r>
      <w:r w:rsidR="00D92FD6">
        <w:instrText xml:space="preserve"> SEQ Figure \* ARABIC </w:instrText>
      </w:r>
      <w:r w:rsidR="00D92FD6">
        <w:fldChar w:fldCharType="separate"/>
      </w:r>
      <w:r w:rsidR="0098379F">
        <w:rPr>
          <w:noProof/>
        </w:rPr>
        <w:t>1</w:t>
      </w:r>
      <w:r w:rsidR="00D92FD6">
        <w:rPr>
          <w:noProof/>
        </w:rPr>
        <w:fldChar w:fldCharType="end"/>
      </w:r>
      <w:r>
        <w:t xml:space="preserve"> Illustration of interference from CIOT to LTE symbols when the CIOT tone is separated from LTE carrier by </w:t>
      </w:r>
      <w:r w:rsidR="00B453BB">
        <w:t xml:space="preserve">a multiple of </w:t>
      </w:r>
      <w:r>
        <w:t>15 kHz.</w:t>
      </w:r>
    </w:p>
    <w:p w:rsidR="00EE79C4" w:rsidRDefault="00EE79C4" w:rsidP="003606DF">
      <w:pPr>
        <w:pStyle w:val="Heading1"/>
      </w:pPr>
      <w:r>
        <w:t>Cyclic Prefix</w:t>
      </w:r>
    </w:p>
    <w:p w:rsidR="00EE79C4" w:rsidRDefault="00EE79C4" w:rsidP="006B6EC0">
      <w:pPr>
        <w:rPr>
          <w:lang w:val="en-GB" w:eastAsia="en-US"/>
        </w:rPr>
      </w:pPr>
      <w:r>
        <w:rPr>
          <w:lang w:val="en-GB" w:eastAsia="en-US"/>
        </w:rPr>
        <w:t>Corresponding to 2.5 kHz tone spacing, the sampling rate is changed to 320 kHz with 128 FFT size. As a result, cyclic prefix (CP) lengths are changed.</w:t>
      </w:r>
    </w:p>
    <w:p w:rsidR="00EE79C4" w:rsidRPr="00AB7C9F" w:rsidRDefault="00EE79C4" w:rsidP="006B6EC0">
      <w:pPr>
        <w:pStyle w:val="ListParagraph"/>
        <w:numPr>
          <w:ilvl w:val="0"/>
          <w:numId w:val="27"/>
        </w:numPr>
        <w:rPr>
          <w:rFonts w:ascii="Times New Roman" w:hAnsi="Times New Roman"/>
          <w:sz w:val="21"/>
          <w:szCs w:val="21"/>
          <w:lang w:val="en-GB"/>
        </w:rPr>
      </w:pPr>
      <w:r w:rsidRPr="00AB7C9F">
        <w:rPr>
          <w:rFonts w:ascii="Times New Roman" w:hAnsi="Times New Roman"/>
          <w:sz w:val="21"/>
          <w:szCs w:val="21"/>
          <w:lang w:val="en-GB"/>
        </w:rPr>
        <w:t xml:space="preserve">For normal slots, the CP length is 8 samples (25 </w:t>
      </w:r>
      <w:r w:rsidRPr="00AB7C9F">
        <w:rPr>
          <w:rFonts w:ascii="Times New Roman" w:hAnsi="Times New Roman"/>
          <w:sz w:val="21"/>
          <w:szCs w:val="21"/>
          <w:lang w:val="en-GB"/>
        </w:rPr>
        <w:t>s) for cell radii up to 35 km.</w:t>
      </w:r>
    </w:p>
    <w:p w:rsidR="00EE79C4" w:rsidRPr="00AB7C9F" w:rsidRDefault="00EE79C4" w:rsidP="006B6EC0">
      <w:pPr>
        <w:pStyle w:val="ListParagraph"/>
        <w:numPr>
          <w:ilvl w:val="0"/>
          <w:numId w:val="27"/>
        </w:numPr>
        <w:rPr>
          <w:rFonts w:ascii="Times New Roman" w:hAnsi="Times New Roman"/>
          <w:sz w:val="21"/>
          <w:szCs w:val="21"/>
          <w:lang w:val="en-GB"/>
        </w:rPr>
      </w:pPr>
      <w:r w:rsidRPr="00AB7C9F">
        <w:rPr>
          <w:rFonts w:ascii="Times New Roman" w:hAnsi="Times New Roman"/>
          <w:sz w:val="21"/>
          <w:szCs w:val="21"/>
          <w:lang w:val="en-GB"/>
        </w:rPr>
        <w:t xml:space="preserve">For extended slots that are </w:t>
      </w:r>
      <w:r w:rsidR="005E3476" w:rsidRPr="00AB7C9F">
        <w:rPr>
          <w:rFonts w:ascii="Times New Roman" w:hAnsi="Times New Roman"/>
          <w:sz w:val="21"/>
          <w:szCs w:val="21"/>
          <w:lang w:val="en-GB"/>
        </w:rPr>
        <w:t>shared by</w:t>
      </w:r>
      <w:r w:rsidRPr="00AB7C9F">
        <w:rPr>
          <w:rFonts w:ascii="Times New Roman" w:hAnsi="Times New Roman"/>
          <w:sz w:val="21"/>
          <w:szCs w:val="21"/>
          <w:lang w:val="en-GB"/>
        </w:rPr>
        <w:t xml:space="preserve"> PRACH</w:t>
      </w:r>
      <w:r w:rsidR="005E3476" w:rsidRPr="00AB7C9F">
        <w:rPr>
          <w:rFonts w:ascii="Times New Roman" w:hAnsi="Times New Roman"/>
          <w:sz w:val="21"/>
          <w:szCs w:val="21"/>
          <w:lang w:val="en-GB"/>
        </w:rPr>
        <w:t xml:space="preserve"> and PUSCH</w:t>
      </w:r>
      <w:r w:rsidRPr="00AB7C9F">
        <w:rPr>
          <w:rFonts w:ascii="Times New Roman" w:hAnsi="Times New Roman"/>
          <w:sz w:val="21"/>
          <w:szCs w:val="21"/>
          <w:lang w:val="en-GB"/>
        </w:rPr>
        <w:t xml:space="preserve">, the CP length for frame structure 1 is 18 samples (56.25 </w:t>
      </w:r>
      <w:r w:rsidRPr="00AB7C9F">
        <w:rPr>
          <w:rFonts w:ascii="Times New Roman" w:hAnsi="Times New Roman"/>
          <w:sz w:val="21"/>
          <w:szCs w:val="21"/>
          <w:lang w:val="en-GB"/>
        </w:rPr>
        <w:t xml:space="preserve">s) to support cell radii up to </w:t>
      </w:r>
      <w:r w:rsidR="00D2746C" w:rsidRPr="00AB7C9F">
        <w:rPr>
          <w:rFonts w:ascii="Times New Roman" w:hAnsi="Times New Roman"/>
          <w:sz w:val="21"/>
          <w:szCs w:val="21"/>
          <w:lang w:val="en-GB"/>
        </w:rPr>
        <w:t>8.4 km; the average</w:t>
      </w:r>
      <w:r w:rsidR="00B23168" w:rsidRPr="00AB7C9F">
        <w:rPr>
          <w:rFonts w:ascii="Times New Roman" w:hAnsi="Times New Roman"/>
          <w:sz w:val="21"/>
          <w:szCs w:val="21"/>
          <w:lang w:val="en-GB"/>
        </w:rPr>
        <w:t xml:space="preserve"> </w:t>
      </w:r>
      <w:r w:rsidR="00D2746C" w:rsidRPr="00AB7C9F">
        <w:rPr>
          <w:rFonts w:ascii="Times New Roman" w:hAnsi="Times New Roman"/>
          <w:sz w:val="21"/>
          <w:szCs w:val="21"/>
          <w:lang w:val="en-GB"/>
        </w:rPr>
        <w:t xml:space="preserve">CP length for frame structure 2 is 46 samples </w:t>
      </w:r>
      <w:r w:rsidR="00462E1F" w:rsidRPr="00AB7C9F">
        <w:rPr>
          <w:rFonts w:ascii="Times New Roman" w:hAnsi="Times New Roman"/>
          <w:sz w:val="21"/>
          <w:szCs w:val="21"/>
          <w:lang w:val="en-GB"/>
        </w:rPr>
        <w:t>and the symbol structure is</w:t>
      </w:r>
      <w:r w:rsidR="005E3476" w:rsidRPr="00AB7C9F">
        <w:rPr>
          <w:rFonts w:ascii="Times New Roman" w:hAnsi="Times New Roman"/>
          <w:sz w:val="21"/>
          <w:szCs w:val="21"/>
          <w:lang w:val="en-GB"/>
        </w:rPr>
        <w:t xml:space="preserve"> shown in Figure 2.</w:t>
      </w:r>
    </w:p>
    <w:p w:rsidR="00462E1F" w:rsidRDefault="0098379F" w:rsidP="008327F9">
      <w:pPr>
        <w:keepNext/>
        <w:keepLines/>
        <w:spacing w:after="0"/>
        <w:jc w:val="center"/>
      </w:pPr>
      <w:r>
        <w:rPr>
          <w:lang w:val="en-GB" w:eastAsia="en-US"/>
        </w:rPr>
        <w:object w:dxaOrig="10667" w:dyaOrig="4675">
          <v:shape id="_x0000_i1026" type="#_x0000_t75" style="width:374.4pt;height:172.8pt" o:ole="">
            <v:imagedata r:id="rId10" o:title=""/>
          </v:shape>
          <o:OLEObject Type="Embed" ProgID="Visio.Drawing.11" ShapeID="_x0000_i1026" DrawAspect="Content" ObjectID="_1486905948" r:id="rId11"/>
        </w:object>
      </w:r>
    </w:p>
    <w:p w:rsidR="005E3476" w:rsidRDefault="00462E1F" w:rsidP="008327F9">
      <w:pPr>
        <w:pStyle w:val="Caption"/>
        <w:keepNext/>
        <w:keepLines/>
        <w:jc w:val="center"/>
        <w:rPr>
          <w:lang w:val="en-GB" w:eastAsia="en-US"/>
        </w:rPr>
      </w:pPr>
      <w:r>
        <w:t xml:space="preserve">Figure </w:t>
      </w:r>
      <w:r w:rsidR="00D92FD6">
        <w:fldChar w:fldCharType="begin"/>
      </w:r>
      <w:r w:rsidR="00D92FD6">
        <w:instrText xml:space="preserve"> SEQ Figure \*</w:instrText>
      </w:r>
      <w:r w:rsidR="00D92FD6">
        <w:instrText xml:space="preserve"> ARABIC </w:instrText>
      </w:r>
      <w:r w:rsidR="00D92FD6">
        <w:fldChar w:fldCharType="separate"/>
      </w:r>
      <w:r w:rsidR="0098379F">
        <w:rPr>
          <w:noProof/>
        </w:rPr>
        <w:t>2</w:t>
      </w:r>
      <w:r w:rsidR="00D92FD6">
        <w:rPr>
          <w:noProof/>
        </w:rPr>
        <w:fldChar w:fldCharType="end"/>
      </w:r>
      <w:r>
        <w:t xml:space="preserve"> Symbols structure of extended slot for large cells.</w:t>
      </w:r>
    </w:p>
    <w:p w:rsidR="005E3476" w:rsidRPr="00EE79C4" w:rsidRDefault="005E3476" w:rsidP="006B6EC0">
      <w:pPr>
        <w:rPr>
          <w:lang w:val="en-GB" w:eastAsia="en-US"/>
        </w:rPr>
      </w:pPr>
    </w:p>
    <w:p w:rsidR="00CB41A9" w:rsidRPr="008B4095" w:rsidRDefault="008B4095" w:rsidP="00C33D02">
      <w:pPr>
        <w:pStyle w:val="Heading1"/>
      </w:pPr>
      <w:r w:rsidRPr="008B4095">
        <w:lastRenderedPageBreak/>
        <w:t>Time and Frequency Design</w:t>
      </w:r>
    </w:p>
    <w:p w:rsidR="00364700" w:rsidRPr="00364700" w:rsidRDefault="00364700" w:rsidP="00364700">
      <w:pPr>
        <w:pStyle w:val="ListParagraph"/>
        <w:keepNext/>
        <w:widowControl w:val="0"/>
        <w:numPr>
          <w:ilvl w:val="0"/>
          <w:numId w:val="9"/>
        </w:numPr>
        <w:spacing w:before="240" w:after="60" w:line="240" w:lineRule="auto"/>
        <w:contextualSpacing w:val="0"/>
        <w:jc w:val="both"/>
        <w:outlineLvl w:val="1"/>
        <w:rPr>
          <w:rFonts w:ascii="Arial" w:eastAsia="SimSun" w:hAnsi="Arial" w:cs="Arial"/>
          <w:b/>
          <w:bCs/>
          <w:i/>
          <w:iCs/>
          <w:vanish/>
          <w:kern w:val="2"/>
          <w:sz w:val="28"/>
          <w:szCs w:val="21"/>
          <w:lang w:eastAsia="zh-CN"/>
        </w:rPr>
      </w:pPr>
    </w:p>
    <w:p w:rsidR="00364700" w:rsidRPr="00364700" w:rsidRDefault="00364700" w:rsidP="00364700">
      <w:pPr>
        <w:pStyle w:val="ListParagraph"/>
        <w:keepNext/>
        <w:widowControl w:val="0"/>
        <w:numPr>
          <w:ilvl w:val="0"/>
          <w:numId w:val="9"/>
        </w:numPr>
        <w:spacing w:before="240" w:after="60" w:line="240" w:lineRule="auto"/>
        <w:contextualSpacing w:val="0"/>
        <w:jc w:val="both"/>
        <w:outlineLvl w:val="1"/>
        <w:rPr>
          <w:rFonts w:ascii="Arial" w:eastAsia="SimSun" w:hAnsi="Arial" w:cs="Arial"/>
          <w:b/>
          <w:bCs/>
          <w:i/>
          <w:iCs/>
          <w:vanish/>
          <w:kern w:val="2"/>
          <w:sz w:val="28"/>
          <w:szCs w:val="21"/>
          <w:lang w:eastAsia="zh-CN"/>
        </w:rPr>
      </w:pPr>
    </w:p>
    <w:p w:rsidR="00364700" w:rsidRPr="00364700" w:rsidRDefault="00364700" w:rsidP="00364700">
      <w:pPr>
        <w:pStyle w:val="ListParagraph"/>
        <w:keepNext/>
        <w:widowControl w:val="0"/>
        <w:numPr>
          <w:ilvl w:val="0"/>
          <w:numId w:val="9"/>
        </w:numPr>
        <w:spacing w:before="240" w:after="60" w:line="240" w:lineRule="auto"/>
        <w:contextualSpacing w:val="0"/>
        <w:jc w:val="both"/>
        <w:outlineLvl w:val="1"/>
        <w:rPr>
          <w:rFonts w:ascii="Arial" w:eastAsia="SimSun" w:hAnsi="Arial" w:cs="Arial"/>
          <w:b/>
          <w:bCs/>
          <w:i/>
          <w:iCs/>
          <w:vanish/>
          <w:kern w:val="2"/>
          <w:sz w:val="28"/>
          <w:szCs w:val="21"/>
          <w:lang w:eastAsia="zh-CN"/>
        </w:rPr>
      </w:pPr>
    </w:p>
    <w:p w:rsidR="00364700" w:rsidRPr="00364700" w:rsidRDefault="00364700" w:rsidP="00364700">
      <w:pPr>
        <w:pStyle w:val="ListParagraph"/>
        <w:keepNext/>
        <w:widowControl w:val="0"/>
        <w:numPr>
          <w:ilvl w:val="0"/>
          <w:numId w:val="9"/>
        </w:numPr>
        <w:spacing w:before="240" w:after="60" w:line="240" w:lineRule="auto"/>
        <w:contextualSpacing w:val="0"/>
        <w:jc w:val="both"/>
        <w:outlineLvl w:val="1"/>
        <w:rPr>
          <w:rFonts w:ascii="Arial" w:eastAsia="SimSun" w:hAnsi="Arial" w:cs="Arial"/>
          <w:b/>
          <w:bCs/>
          <w:i/>
          <w:iCs/>
          <w:vanish/>
          <w:kern w:val="2"/>
          <w:sz w:val="28"/>
          <w:szCs w:val="21"/>
          <w:lang w:eastAsia="zh-CN"/>
        </w:rPr>
      </w:pPr>
    </w:p>
    <w:p w:rsidR="008B4095" w:rsidRPr="00C33D02" w:rsidRDefault="008B4095" w:rsidP="00364700">
      <w:pPr>
        <w:pStyle w:val="Heading2"/>
      </w:pPr>
      <w:r w:rsidRPr="00364700">
        <w:t>Frequency</w:t>
      </w:r>
      <w:r w:rsidRPr="00C33D02">
        <w:t xml:space="preserve"> domain</w:t>
      </w:r>
    </w:p>
    <w:p w:rsidR="008B4095" w:rsidRPr="008B4095" w:rsidRDefault="008B4095" w:rsidP="006B6EC0">
      <w:pPr>
        <w:rPr>
          <w:lang w:val="en-GB" w:eastAsia="en-US"/>
        </w:rPr>
      </w:pPr>
      <w:r w:rsidRPr="008B4095">
        <w:rPr>
          <w:lang w:val="en-GB" w:eastAsia="en-US"/>
        </w:rPr>
        <w:t xml:space="preserve">A 200 kHz spectrum is sub divided into a number of subcarriers and guard bands </w:t>
      </w:r>
      <w:r>
        <w:rPr>
          <w:lang w:val="en-GB" w:eastAsia="en-US"/>
        </w:rPr>
        <w:t>as shown in Figure 2</w:t>
      </w:r>
      <w:r w:rsidRPr="008B4095">
        <w:rPr>
          <w:lang w:val="en-GB" w:eastAsia="en-US"/>
        </w:rPr>
        <w:t>. The fundamental parameters are:</w:t>
      </w:r>
    </w:p>
    <w:p w:rsidR="008B4095" w:rsidRPr="006B6EC0" w:rsidRDefault="008B4095" w:rsidP="006B6EC0">
      <w:pPr>
        <w:pStyle w:val="ListParagraph"/>
        <w:numPr>
          <w:ilvl w:val="0"/>
          <w:numId w:val="17"/>
        </w:numPr>
        <w:rPr>
          <w:lang w:val="en-GB"/>
        </w:rPr>
      </w:pPr>
      <w:r w:rsidRPr="006B6EC0">
        <w:rPr>
          <w:lang w:val="en-GB"/>
        </w:rPr>
        <w:t>Tone bandwidth = 2.5 kHz</w:t>
      </w:r>
    </w:p>
    <w:p w:rsidR="008B4095" w:rsidRPr="006B6EC0" w:rsidRDefault="008B4095" w:rsidP="006B6EC0">
      <w:pPr>
        <w:pStyle w:val="ListParagraph"/>
        <w:numPr>
          <w:ilvl w:val="0"/>
          <w:numId w:val="17"/>
        </w:numPr>
        <w:rPr>
          <w:lang w:val="en-GB"/>
        </w:rPr>
      </w:pPr>
      <w:r w:rsidRPr="006B6EC0">
        <w:rPr>
          <w:lang w:val="en-GB"/>
        </w:rPr>
        <w:t>Active tones = 72 = 180 kHz</w:t>
      </w:r>
    </w:p>
    <w:p w:rsidR="008B4095" w:rsidRPr="006B6EC0" w:rsidRDefault="008B4095" w:rsidP="006B6EC0">
      <w:pPr>
        <w:pStyle w:val="ListParagraph"/>
        <w:numPr>
          <w:ilvl w:val="0"/>
          <w:numId w:val="17"/>
        </w:numPr>
        <w:rPr>
          <w:lang w:val="en-GB"/>
        </w:rPr>
      </w:pPr>
      <w:r w:rsidRPr="006B6EC0">
        <w:rPr>
          <w:lang w:val="en-GB"/>
        </w:rPr>
        <w:t>Guard bandwidth to adjacent 200 kHz channels at either end = 10 kHz</w:t>
      </w:r>
    </w:p>
    <w:p w:rsidR="00F03BE3" w:rsidRDefault="00A26D3A" w:rsidP="008327F9">
      <w:pPr>
        <w:spacing w:after="0"/>
        <w:jc w:val="center"/>
      </w:pPr>
      <w:r w:rsidRPr="008B4095">
        <w:rPr>
          <w:lang w:val="en-GB" w:eastAsia="en-US"/>
        </w:rPr>
        <w:object w:dxaOrig="4226" w:dyaOrig="2797">
          <v:shape id="_x0000_i1027" type="#_x0000_t75" style="width:259.2pt;height:172.8pt" o:ole="">
            <v:imagedata r:id="rId12" o:title=""/>
          </v:shape>
          <o:OLEObject Type="Embed" ProgID="Visio.Drawing.11" ShapeID="_x0000_i1027" DrawAspect="Content" ObjectID="_1486905949" r:id="rId13"/>
        </w:object>
      </w:r>
    </w:p>
    <w:p w:rsidR="008B4095" w:rsidRPr="008B4095" w:rsidRDefault="008B4095" w:rsidP="006B6EC0">
      <w:pPr>
        <w:pStyle w:val="Caption"/>
        <w:jc w:val="center"/>
        <w:rPr>
          <w:lang w:eastAsia="en-US"/>
        </w:rPr>
      </w:pPr>
      <w:r>
        <w:t xml:space="preserve">Figure </w:t>
      </w:r>
      <w:r w:rsidR="00D92FD6">
        <w:fldChar w:fldCharType="begin"/>
      </w:r>
      <w:r w:rsidR="00D92FD6">
        <w:instrText xml:space="preserve"> SEQ Figure \* ARABIC </w:instrText>
      </w:r>
      <w:r w:rsidR="00D92FD6">
        <w:fldChar w:fldCharType="separate"/>
      </w:r>
      <w:r w:rsidR="00A45888">
        <w:rPr>
          <w:noProof/>
        </w:rPr>
        <w:t>3</w:t>
      </w:r>
      <w:r w:rsidR="00D92FD6">
        <w:rPr>
          <w:noProof/>
        </w:rPr>
        <w:fldChar w:fldCharType="end"/>
      </w:r>
      <w:r>
        <w:t xml:space="preserve">. </w:t>
      </w:r>
      <w:r w:rsidRPr="008B4095">
        <w:rPr>
          <w:lang w:val="x-none" w:eastAsia="en-US"/>
        </w:rPr>
        <w:t>Downlink and uplink channelization</w:t>
      </w:r>
      <w:r>
        <w:rPr>
          <w:lang w:eastAsia="en-US"/>
        </w:rPr>
        <w:t>.</w:t>
      </w:r>
    </w:p>
    <w:p w:rsidR="008B4095" w:rsidRPr="008B4095" w:rsidRDefault="008B4095" w:rsidP="00364700">
      <w:pPr>
        <w:pStyle w:val="Heading2"/>
        <w:rPr>
          <w:lang w:val="en-GB" w:eastAsia="en-US"/>
        </w:rPr>
      </w:pPr>
      <w:r w:rsidRPr="008B4095">
        <w:rPr>
          <w:lang w:val="en-GB" w:eastAsia="en-US"/>
        </w:rPr>
        <w:tab/>
        <w:t>Time-domain frame and slot structure</w:t>
      </w:r>
    </w:p>
    <w:p w:rsidR="008B4095" w:rsidRPr="008B4095" w:rsidRDefault="008B4095" w:rsidP="006B6EC0">
      <w:pPr>
        <w:rPr>
          <w:lang w:val="en-GB" w:eastAsia="en-US"/>
        </w:rPr>
      </w:pPr>
      <w:r w:rsidRPr="008B4095">
        <w:rPr>
          <w:lang w:val="en-GB" w:eastAsia="en-US"/>
        </w:rPr>
        <w:t>In the time domain a 1 second frame is sub-divided into a number of sl</w:t>
      </w:r>
      <w:r>
        <w:rPr>
          <w:lang w:val="en-GB" w:eastAsia="en-US"/>
        </w:rPr>
        <w:t>ots as shown in Figure 3</w:t>
      </w:r>
      <w:r w:rsidRPr="008B4095">
        <w:rPr>
          <w:lang w:val="en-GB" w:eastAsia="en-US"/>
        </w:rPr>
        <w:t>. A total of 64 frames constitute a super frame and 4096 super frames make-up a hyper frame.</w:t>
      </w:r>
    </w:p>
    <w:p w:rsidR="00A335FF" w:rsidRDefault="004E74BE" w:rsidP="008327F9">
      <w:pPr>
        <w:spacing w:after="0"/>
        <w:jc w:val="center"/>
      </w:pPr>
      <w:r w:rsidRPr="008B4095">
        <w:rPr>
          <w:lang w:val="en-GB" w:eastAsia="en-US"/>
        </w:rPr>
        <w:object w:dxaOrig="5830" w:dyaOrig="1981">
          <v:shape id="_x0000_i1028" type="#_x0000_t75" style="width:374.4pt;height:129.6pt" o:ole="">
            <v:imagedata r:id="rId14" o:title=""/>
          </v:shape>
          <o:OLEObject Type="Embed" ProgID="Visio.Drawing.11" ShapeID="_x0000_i1028" DrawAspect="Content" ObjectID="_1486905950" r:id="rId15"/>
        </w:object>
      </w:r>
    </w:p>
    <w:p w:rsidR="008B4095" w:rsidRPr="00A335FF" w:rsidRDefault="00A335FF" w:rsidP="006B6EC0">
      <w:pPr>
        <w:pStyle w:val="Caption"/>
        <w:jc w:val="center"/>
        <w:rPr>
          <w:lang w:eastAsia="en-US"/>
        </w:rPr>
      </w:pPr>
      <w:r>
        <w:t xml:space="preserve">Figure </w:t>
      </w:r>
      <w:r w:rsidR="00D92FD6">
        <w:fldChar w:fldCharType="begin"/>
      </w:r>
      <w:r w:rsidR="00D92FD6">
        <w:instrText xml:space="preserve"> SEQ Figure \* ARABIC </w:instrText>
      </w:r>
      <w:r w:rsidR="00D92FD6">
        <w:fldChar w:fldCharType="separate"/>
      </w:r>
      <w:r w:rsidR="006E454E">
        <w:rPr>
          <w:noProof/>
        </w:rPr>
        <w:t>4</w:t>
      </w:r>
      <w:r w:rsidR="00D92FD6">
        <w:rPr>
          <w:noProof/>
        </w:rPr>
        <w:fldChar w:fldCharType="end"/>
      </w:r>
      <w:r>
        <w:t xml:space="preserve">. </w:t>
      </w:r>
      <w:r w:rsidRPr="008B4095">
        <w:rPr>
          <w:lang w:val="x-none" w:eastAsia="en-US"/>
        </w:rPr>
        <w:t>Hyper and super frames</w:t>
      </w:r>
      <w:r>
        <w:rPr>
          <w:lang w:eastAsia="en-US"/>
        </w:rPr>
        <w:t>.</w:t>
      </w:r>
    </w:p>
    <w:p w:rsidR="008B4095" w:rsidRPr="008B4095" w:rsidRDefault="008B4095" w:rsidP="006B6EC0">
      <w:pPr>
        <w:rPr>
          <w:lang w:val="en-GB" w:eastAsia="en-US"/>
        </w:rPr>
      </w:pPr>
      <w:r w:rsidRPr="008B4095">
        <w:rPr>
          <w:lang w:val="en-GB" w:eastAsia="en-US"/>
        </w:rPr>
        <w:t xml:space="preserve">The downlink </w:t>
      </w:r>
      <w:r w:rsidR="00462E1F">
        <w:rPr>
          <w:lang w:val="en-GB" w:eastAsia="en-US"/>
        </w:rPr>
        <w:t>frame consists of 163</w:t>
      </w:r>
      <w:r w:rsidRPr="008B4095">
        <w:rPr>
          <w:lang w:val="en-GB" w:eastAsia="en-US"/>
        </w:rPr>
        <w:t xml:space="preserve"> normal slots and 8 special slots (see </w:t>
      </w:r>
      <w:r w:rsidR="00572D5B">
        <w:rPr>
          <w:lang w:val="en-GB" w:eastAsia="en-US"/>
        </w:rPr>
        <w:fldChar w:fldCharType="begin"/>
      </w:r>
      <w:r w:rsidR="00572D5B">
        <w:rPr>
          <w:lang w:val="en-GB" w:eastAsia="en-US"/>
        </w:rPr>
        <w:instrText xml:space="preserve"> REF _Ref413144579 \h </w:instrText>
      </w:r>
      <w:r w:rsidR="00572D5B">
        <w:rPr>
          <w:lang w:val="en-GB" w:eastAsia="en-US"/>
        </w:rPr>
      </w:r>
      <w:r w:rsidR="00572D5B">
        <w:rPr>
          <w:lang w:val="en-GB" w:eastAsia="en-US"/>
        </w:rPr>
        <w:fldChar w:fldCharType="separate"/>
      </w:r>
      <w:r w:rsidR="00572D5B">
        <w:t xml:space="preserve">Figure </w:t>
      </w:r>
      <w:r w:rsidR="00572D5B">
        <w:rPr>
          <w:noProof/>
        </w:rPr>
        <w:t>5</w:t>
      </w:r>
      <w:r w:rsidR="00572D5B">
        <w:rPr>
          <w:lang w:val="en-GB" w:eastAsia="en-US"/>
        </w:rPr>
        <w:fldChar w:fldCharType="end"/>
      </w:r>
      <w:r w:rsidRPr="008B4095">
        <w:rPr>
          <w:lang w:val="en-GB" w:eastAsia="en-US"/>
        </w:rPr>
        <w:t>). Normal slots are used to carry data while special slots are used to enable the mobile station to perform frame, slot and symbol level synchronisation. Normal slots have a du</w:t>
      </w:r>
      <w:r w:rsidR="00BA4AED">
        <w:rPr>
          <w:lang w:val="en-GB" w:eastAsia="en-US"/>
        </w:rPr>
        <w:t>ration of</w:t>
      </w:r>
      <w:r w:rsidR="00A903D3">
        <w:rPr>
          <w:lang w:val="en-GB" w:eastAsia="en-US"/>
        </w:rPr>
        <w:t xml:space="preserve"> 5962.5</w:t>
      </w:r>
      <w:r w:rsidR="00462E1F">
        <w:rPr>
          <w:lang w:val="en-GB" w:eastAsia="en-US"/>
        </w:rPr>
        <w:t xml:space="preserve"> </w:t>
      </w:r>
      <w:r w:rsidR="00462E1F" w:rsidRPr="00A903D3">
        <w:rPr>
          <w:rFonts w:ascii="Symbol" w:hAnsi="Symbol"/>
          <w:lang w:val="en-GB" w:eastAsia="en-US"/>
        </w:rPr>
        <w:t></w:t>
      </w:r>
      <w:r w:rsidR="00406B1F">
        <w:rPr>
          <w:lang w:val="en-GB" w:eastAsia="en-US"/>
        </w:rPr>
        <w:t>s consisting of 14</w:t>
      </w:r>
      <w:r w:rsidR="00462E1F">
        <w:rPr>
          <w:lang w:val="en-GB" w:eastAsia="en-US"/>
        </w:rPr>
        <w:t xml:space="preserve"> </w:t>
      </w:r>
      <w:r w:rsidR="00462E1F">
        <w:rPr>
          <w:lang w:val="en-GB" w:eastAsia="en-US"/>
        </w:rPr>
        <w:lastRenderedPageBreak/>
        <w:t>symbols, 140 samples for the first symbol and 136</w:t>
      </w:r>
      <w:r w:rsidRPr="008B4095">
        <w:rPr>
          <w:lang w:val="en-GB" w:eastAsia="en-US"/>
        </w:rPr>
        <w:t xml:space="preserve"> samples</w:t>
      </w:r>
      <w:r w:rsidR="00462E1F">
        <w:rPr>
          <w:lang w:val="en-GB" w:eastAsia="en-US"/>
        </w:rPr>
        <w:t xml:space="preserve"> for the rest</w:t>
      </w:r>
      <w:r w:rsidR="00406B1F">
        <w:rPr>
          <w:lang w:val="en-GB" w:eastAsia="en-US"/>
        </w:rPr>
        <w:t>.  S</w:t>
      </w:r>
      <w:r w:rsidRPr="008B4095">
        <w:rPr>
          <w:lang w:val="en-GB" w:eastAsia="en-US"/>
        </w:rPr>
        <w:t xml:space="preserve">pecial slots have a duration of </w:t>
      </w:r>
      <w:r w:rsidR="00A903D3">
        <w:rPr>
          <w:lang w:val="en-GB" w:eastAsia="en-US"/>
        </w:rPr>
        <w:t>3509.375</w:t>
      </w:r>
      <w:r w:rsidR="00977DD3">
        <w:rPr>
          <w:lang w:val="en-GB" w:eastAsia="en-US"/>
        </w:rPr>
        <w:t xml:space="preserve"> </w:t>
      </w:r>
      <w:r w:rsidR="00977DD3" w:rsidRPr="00A903D3">
        <w:rPr>
          <w:rFonts w:ascii="Symbol" w:hAnsi="Symbol"/>
          <w:lang w:val="en-GB" w:eastAsia="en-US"/>
        </w:rPr>
        <w:t></w:t>
      </w:r>
      <w:r w:rsidR="00977DD3">
        <w:rPr>
          <w:lang w:val="en-GB" w:eastAsia="en-US"/>
        </w:rPr>
        <w:t>s</w:t>
      </w:r>
      <w:r w:rsidR="00406B1F">
        <w:rPr>
          <w:lang w:val="en-GB" w:eastAsia="en-US"/>
        </w:rPr>
        <w:t xml:space="preserve"> consisting of </w:t>
      </w:r>
      <w:r w:rsidR="00977DD3">
        <w:rPr>
          <w:lang w:val="en-GB" w:eastAsia="en-US"/>
        </w:rPr>
        <w:t>111</w:t>
      </w:r>
      <w:r w:rsidR="00572D5B">
        <w:rPr>
          <w:lang w:val="en-GB" w:eastAsia="en-US"/>
        </w:rPr>
        <w:t>6</w:t>
      </w:r>
      <w:r w:rsidR="00977DD3">
        <w:rPr>
          <w:lang w:val="en-GB" w:eastAsia="en-US"/>
        </w:rPr>
        <w:t xml:space="preserve"> </w:t>
      </w:r>
      <w:r w:rsidR="00406B1F">
        <w:rPr>
          <w:lang w:val="en-GB" w:eastAsia="en-US"/>
        </w:rPr>
        <w:t xml:space="preserve">data samples, </w:t>
      </w:r>
      <w:r w:rsidR="00572D5B">
        <w:rPr>
          <w:lang w:val="en-GB" w:eastAsia="en-US"/>
        </w:rPr>
        <w:t>4</w:t>
      </w:r>
      <w:r w:rsidR="00977DD3">
        <w:rPr>
          <w:lang w:val="en-GB" w:eastAsia="en-US"/>
        </w:rPr>
        <w:t xml:space="preserve"> </w:t>
      </w:r>
      <w:r w:rsidR="00A903D3">
        <w:rPr>
          <w:lang w:val="en-GB" w:eastAsia="en-US"/>
        </w:rPr>
        <w:t xml:space="preserve">leading </w:t>
      </w:r>
      <w:r w:rsidR="00406B1F">
        <w:rPr>
          <w:lang w:val="en-GB" w:eastAsia="en-US"/>
        </w:rPr>
        <w:t xml:space="preserve">ramp-up samples, and </w:t>
      </w:r>
      <w:r w:rsidR="00572D5B">
        <w:rPr>
          <w:lang w:val="en-GB" w:eastAsia="en-US"/>
        </w:rPr>
        <w:t>3</w:t>
      </w:r>
      <w:r w:rsidR="00A903D3">
        <w:rPr>
          <w:lang w:val="en-GB" w:eastAsia="en-US"/>
        </w:rPr>
        <w:t xml:space="preserve"> tailing</w:t>
      </w:r>
      <w:r w:rsidR="00406B1F">
        <w:rPr>
          <w:lang w:val="en-GB" w:eastAsia="en-US"/>
        </w:rPr>
        <w:t xml:space="preserve"> ramp-down samples</w:t>
      </w:r>
      <w:r w:rsidR="00977DD3">
        <w:rPr>
          <w:lang w:val="en-GB" w:eastAsia="en-US"/>
        </w:rPr>
        <w:t>.</w:t>
      </w:r>
      <w:r w:rsidR="00406B1F">
        <w:rPr>
          <w:lang w:val="en-GB" w:eastAsia="en-US"/>
        </w:rPr>
        <w:t xml:space="preserve"> A leading preamble of 12 samples (37.5 </w:t>
      </w:r>
      <w:r w:rsidR="00406B1F" w:rsidRPr="00406B1F">
        <w:rPr>
          <w:rFonts w:ascii="Symbol" w:hAnsi="Symbol"/>
          <w:lang w:val="en-GB" w:eastAsia="en-US"/>
        </w:rPr>
        <w:t></w:t>
      </w:r>
      <w:r w:rsidR="00406B1F">
        <w:rPr>
          <w:lang w:val="en-GB" w:eastAsia="en-US"/>
        </w:rPr>
        <w:t>s) is added in the beginning of a frame.</w:t>
      </w:r>
    </w:p>
    <w:p w:rsidR="00406B1F" w:rsidRDefault="00406B1F" w:rsidP="008327F9">
      <w:pPr>
        <w:spacing w:after="0"/>
        <w:jc w:val="center"/>
      </w:pPr>
      <w:r>
        <w:object w:dxaOrig="6683" w:dyaOrig="1282">
          <v:shape id="_x0000_i1029" type="#_x0000_t75" style="width:410.1pt;height:79.5pt" o:ole="">
            <v:imagedata r:id="rId16" o:title=""/>
          </v:shape>
          <o:OLEObject Type="Embed" ProgID="Visio.Drawing.11" ShapeID="_x0000_i1029" DrawAspect="Content" ObjectID="_1486905951" r:id="rId17"/>
        </w:object>
      </w:r>
    </w:p>
    <w:p w:rsidR="008B4095" w:rsidRDefault="00406B1F" w:rsidP="00A26D3A">
      <w:pPr>
        <w:pStyle w:val="Caption"/>
        <w:jc w:val="center"/>
      </w:pPr>
      <w:bookmarkStart w:id="1" w:name="_Ref413144579"/>
      <w:r>
        <w:t xml:space="preserve">Figure </w:t>
      </w:r>
      <w:r w:rsidR="00D92FD6">
        <w:fldChar w:fldCharType="begin"/>
      </w:r>
      <w:r w:rsidR="00D92FD6">
        <w:instrText xml:space="preserve"> SEQ Figure \* ARABIC </w:instrText>
      </w:r>
      <w:r w:rsidR="00D92FD6">
        <w:fldChar w:fldCharType="separate"/>
      </w:r>
      <w:r w:rsidR="006E454E">
        <w:rPr>
          <w:noProof/>
        </w:rPr>
        <w:t>5</w:t>
      </w:r>
      <w:r w:rsidR="00D92FD6">
        <w:rPr>
          <w:noProof/>
        </w:rPr>
        <w:fldChar w:fldCharType="end"/>
      </w:r>
      <w:bookmarkEnd w:id="1"/>
      <w:r>
        <w:t>. Downlink frame structure.</w:t>
      </w:r>
    </w:p>
    <w:p w:rsidR="00406B1F" w:rsidRPr="00406B1F" w:rsidRDefault="00406B1F" w:rsidP="006B6EC0"/>
    <w:p w:rsidR="00115487" w:rsidRDefault="00AC6483" w:rsidP="006B6EC0">
      <w:pPr>
        <w:rPr>
          <w:lang w:val="en-GB" w:eastAsia="en-US"/>
        </w:rPr>
      </w:pPr>
      <w:r>
        <w:rPr>
          <w:lang w:eastAsia="en-US"/>
        </w:rPr>
        <w:t xml:space="preserve">There are two uplink frame structures: structure 1 for normal cells with radii less than 8 km and structure </w:t>
      </w:r>
      <w:r w:rsidR="00A84E50">
        <w:rPr>
          <w:lang w:eastAsia="en-US"/>
        </w:rPr>
        <w:t xml:space="preserve">2 </w:t>
      </w:r>
      <w:r>
        <w:rPr>
          <w:lang w:eastAsia="en-US"/>
        </w:rPr>
        <w:t xml:space="preserve">for large cells with radii up to 35 km. </w:t>
      </w:r>
      <w:r w:rsidR="008B4095" w:rsidRPr="008B4095">
        <w:rPr>
          <w:lang w:val="en-GB" w:eastAsia="en-US"/>
        </w:rPr>
        <w:t xml:space="preserve">Uplink frame </w:t>
      </w:r>
      <w:r w:rsidR="00A84E50">
        <w:rPr>
          <w:lang w:val="en-GB" w:eastAsia="en-US"/>
        </w:rPr>
        <w:t>structure 1 consists of 14</w:t>
      </w:r>
      <w:r w:rsidR="008B4095" w:rsidRPr="008B4095">
        <w:rPr>
          <w:lang w:val="en-GB" w:eastAsia="en-US"/>
        </w:rPr>
        <w:t>2 normal slots and 24 extended slots</w:t>
      </w:r>
      <w:r w:rsidR="00572D5B">
        <w:rPr>
          <w:lang w:val="en-GB" w:eastAsia="en-US"/>
        </w:rPr>
        <w:t xml:space="preserve"> as depicted in </w:t>
      </w:r>
      <w:r w:rsidR="00572D5B">
        <w:rPr>
          <w:lang w:val="en-GB" w:eastAsia="en-US"/>
        </w:rPr>
        <w:fldChar w:fldCharType="begin"/>
      </w:r>
      <w:r w:rsidR="00572D5B">
        <w:rPr>
          <w:lang w:val="en-GB" w:eastAsia="en-US"/>
        </w:rPr>
        <w:instrText xml:space="preserve"> REF _Ref412564233 \h </w:instrText>
      </w:r>
      <w:r w:rsidR="00572D5B">
        <w:rPr>
          <w:lang w:val="en-GB" w:eastAsia="en-US"/>
        </w:rPr>
      </w:r>
      <w:r w:rsidR="00572D5B">
        <w:rPr>
          <w:lang w:val="en-GB" w:eastAsia="en-US"/>
        </w:rPr>
        <w:fldChar w:fldCharType="separate"/>
      </w:r>
      <w:r w:rsidR="00572D5B">
        <w:t xml:space="preserve">Figure </w:t>
      </w:r>
      <w:r w:rsidR="00572D5B">
        <w:rPr>
          <w:noProof/>
        </w:rPr>
        <w:t>6</w:t>
      </w:r>
      <w:r w:rsidR="00572D5B">
        <w:rPr>
          <w:lang w:val="en-GB" w:eastAsia="en-US"/>
        </w:rPr>
        <w:fldChar w:fldCharType="end"/>
      </w:r>
      <w:r w:rsidR="00A84E50">
        <w:rPr>
          <w:lang w:val="en-GB" w:eastAsia="en-US"/>
        </w:rPr>
        <w:t>, whereas u</w:t>
      </w:r>
      <w:r w:rsidR="00A84E50" w:rsidRPr="008B4095">
        <w:rPr>
          <w:lang w:val="en-GB" w:eastAsia="en-US"/>
        </w:rPr>
        <w:t xml:space="preserve">plink frame </w:t>
      </w:r>
      <w:r w:rsidR="00A84E50">
        <w:rPr>
          <w:lang w:val="en-GB" w:eastAsia="en-US"/>
        </w:rPr>
        <w:t>structure 2 consists of 137</w:t>
      </w:r>
      <w:r w:rsidR="00A84E50" w:rsidRPr="008B4095">
        <w:rPr>
          <w:lang w:val="en-GB" w:eastAsia="en-US"/>
        </w:rPr>
        <w:t xml:space="preserve"> normal slots and 24 extended slots</w:t>
      </w:r>
      <w:r w:rsidR="00572D5B">
        <w:rPr>
          <w:lang w:val="en-GB" w:eastAsia="en-US"/>
        </w:rPr>
        <w:t xml:space="preserve"> as depicted in </w:t>
      </w:r>
      <w:r w:rsidR="00572D5B">
        <w:rPr>
          <w:lang w:val="en-GB" w:eastAsia="en-US"/>
        </w:rPr>
        <w:fldChar w:fldCharType="begin"/>
      </w:r>
      <w:r w:rsidR="00572D5B">
        <w:rPr>
          <w:lang w:val="en-GB" w:eastAsia="en-US"/>
        </w:rPr>
        <w:instrText xml:space="preserve"> REF _Ref412564261 \h </w:instrText>
      </w:r>
      <w:r w:rsidR="00572D5B">
        <w:rPr>
          <w:lang w:val="en-GB" w:eastAsia="en-US"/>
        </w:rPr>
      </w:r>
      <w:r w:rsidR="00572D5B">
        <w:rPr>
          <w:lang w:val="en-GB" w:eastAsia="en-US"/>
        </w:rPr>
        <w:fldChar w:fldCharType="separate"/>
      </w:r>
      <w:r w:rsidR="00572D5B">
        <w:t xml:space="preserve">Figure </w:t>
      </w:r>
      <w:r w:rsidR="00572D5B">
        <w:rPr>
          <w:noProof/>
        </w:rPr>
        <w:t>7</w:t>
      </w:r>
      <w:r w:rsidR="00572D5B">
        <w:rPr>
          <w:lang w:val="en-GB" w:eastAsia="en-US"/>
        </w:rPr>
        <w:fldChar w:fldCharType="end"/>
      </w:r>
      <w:r w:rsidR="00A84E50">
        <w:rPr>
          <w:lang w:val="en-GB" w:eastAsia="en-US"/>
        </w:rPr>
        <w:t>. T</w:t>
      </w:r>
      <w:r w:rsidR="00A84E50" w:rsidRPr="008B4095">
        <w:rPr>
          <w:lang w:val="en-GB" w:eastAsia="en-US"/>
        </w:rPr>
        <w:t xml:space="preserve">he </w:t>
      </w:r>
      <w:r w:rsidR="00A84E50">
        <w:rPr>
          <w:lang w:val="en-GB" w:eastAsia="en-US"/>
        </w:rPr>
        <w:t xml:space="preserve">24 </w:t>
      </w:r>
      <w:r w:rsidR="00A84E50" w:rsidRPr="008B4095">
        <w:rPr>
          <w:lang w:val="en-GB" w:eastAsia="en-US"/>
        </w:rPr>
        <w:t>extended slot</w:t>
      </w:r>
      <w:r w:rsidR="00A84E50">
        <w:rPr>
          <w:lang w:val="en-GB" w:eastAsia="en-US"/>
        </w:rPr>
        <w:t>s</w:t>
      </w:r>
      <w:r w:rsidR="00A84E50" w:rsidRPr="008B4095">
        <w:rPr>
          <w:lang w:val="en-GB" w:eastAsia="en-US"/>
        </w:rPr>
        <w:t xml:space="preserve"> </w:t>
      </w:r>
      <w:r w:rsidR="00A84E50">
        <w:rPr>
          <w:lang w:val="en-GB" w:eastAsia="en-US"/>
        </w:rPr>
        <w:t xml:space="preserve">are </w:t>
      </w:r>
      <w:r w:rsidR="00A84E50" w:rsidRPr="008B4095">
        <w:rPr>
          <w:lang w:val="en-GB" w:eastAsia="en-US"/>
        </w:rPr>
        <w:t>a</w:t>
      </w:r>
      <w:r w:rsidR="00A84E50">
        <w:rPr>
          <w:lang w:val="en-GB" w:eastAsia="en-US"/>
        </w:rPr>
        <w:t>lways at the start of the frame. Uplink normal slots have the sa</w:t>
      </w:r>
      <w:r w:rsidR="00115487">
        <w:rPr>
          <w:lang w:val="en-GB" w:eastAsia="en-US"/>
        </w:rPr>
        <w:t xml:space="preserve">me structure as downlink slots. </w:t>
      </w:r>
    </w:p>
    <w:p w:rsidR="00E67646" w:rsidRDefault="00115487" w:rsidP="00FE155C">
      <w:pPr>
        <w:rPr>
          <w:lang w:val="en-GB" w:eastAsia="en-US"/>
        </w:rPr>
      </w:pPr>
      <w:r>
        <w:rPr>
          <w:lang w:val="en-GB" w:eastAsia="en-US"/>
        </w:rPr>
        <w:t>An</w:t>
      </w:r>
      <w:r w:rsidR="008B4095" w:rsidRPr="008B4095">
        <w:rPr>
          <w:lang w:val="en-GB" w:eastAsia="en-US"/>
        </w:rPr>
        <w:t xml:space="preserve"> extend slot</w:t>
      </w:r>
      <w:r>
        <w:rPr>
          <w:lang w:val="en-GB" w:eastAsia="en-US"/>
        </w:rPr>
        <w:t xml:space="preserve"> also </w:t>
      </w:r>
      <w:r w:rsidR="008B4095" w:rsidRPr="008B4095">
        <w:rPr>
          <w:lang w:val="en-GB" w:eastAsia="en-US"/>
        </w:rPr>
        <w:t>consist</w:t>
      </w:r>
      <w:r>
        <w:rPr>
          <w:lang w:val="en-GB" w:eastAsia="en-US"/>
        </w:rPr>
        <w:t>s</w:t>
      </w:r>
      <w:r w:rsidR="008B4095" w:rsidRPr="008B4095">
        <w:rPr>
          <w:lang w:val="en-GB" w:eastAsia="en-US"/>
        </w:rPr>
        <w:t xml:space="preserve"> of 14 symbols but the symbols used in the extended slot has larger cyclic prefix (CP) compared to the CP used in the normal slots.</w:t>
      </w:r>
      <w:r w:rsidR="00E67646">
        <w:rPr>
          <w:lang w:val="en-GB" w:eastAsia="en-US"/>
        </w:rPr>
        <w:t xml:space="preserve"> Longer CP ensures transmissions</w:t>
      </w:r>
      <w:r w:rsidR="008B4095" w:rsidRPr="008B4095">
        <w:rPr>
          <w:lang w:val="en-GB" w:eastAsia="en-US"/>
        </w:rPr>
        <w:t xml:space="preserve"> from </w:t>
      </w:r>
      <w:r w:rsidR="00E67646">
        <w:rPr>
          <w:lang w:val="en-GB" w:eastAsia="en-US"/>
        </w:rPr>
        <w:t>different mobile stations don’t interfere with each other even w</w:t>
      </w:r>
      <w:r w:rsidR="008B4095" w:rsidRPr="008B4095">
        <w:rPr>
          <w:lang w:val="en-GB" w:eastAsia="en-US"/>
        </w:rPr>
        <w:t>hen mobile station</w:t>
      </w:r>
      <w:r w:rsidR="00E67646">
        <w:rPr>
          <w:lang w:val="en-GB" w:eastAsia="en-US"/>
        </w:rPr>
        <w:t xml:space="preserve">s don’t know their round trip delay. </w:t>
      </w:r>
      <w:r w:rsidR="008B4095" w:rsidRPr="008B4095">
        <w:rPr>
          <w:lang w:val="en-GB" w:eastAsia="en-US"/>
        </w:rPr>
        <w:t>This situation happens when mobile station is accessing the system hence the extended slots are used to carry random access requests. When mobile station has timing advance then mobile station can use both the normal slot and the extended slot to carry information to the base station</w:t>
      </w:r>
      <w:r w:rsidR="00E67646">
        <w:rPr>
          <w:lang w:val="en-GB" w:eastAsia="en-US"/>
        </w:rPr>
        <w:t xml:space="preserve"> without interfering transmissions of other mobile stations</w:t>
      </w:r>
      <w:r w:rsidR="008B4095" w:rsidRPr="008B4095">
        <w:rPr>
          <w:lang w:val="en-GB" w:eastAsia="en-US"/>
        </w:rPr>
        <w:t xml:space="preserve">. </w:t>
      </w:r>
    </w:p>
    <w:p w:rsidR="008B4095" w:rsidRPr="008B4095" w:rsidRDefault="008B4095" w:rsidP="00FE155C">
      <w:pPr>
        <w:rPr>
          <w:lang w:val="en-GB" w:eastAsia="en-US"/>
        </w:rPr>
      </w:pPr>
      <w:r w:rsidRPr="008B4095">
        <w:rPr>
          <w:lang w:val="en-GB" w:eastAsia="en-US"/>
        </w:rPr>
        <w:t>Between the extended and normal slots there is a PRACH Buffer period to prevent the last extended slot from interfering with the first normal slot. Note, start of uplink frame is aligned to the start of downlink frame.</w:t>
      </w:r>
    </w:p>
    <w:p w:rsidR="00DA5E1D" w:rsidRDefault="00DA5E1D" w:rsidP="008327F9">
      <w:pPr>
        <w:spacing w:after="0"/>
        <w:jc w:val="center"/>
      </w:pPr>
      <w:r>
        <w:rPr>
          <w:lang w:val="en-GB" w:eastAsia="en-US"/>
        </w:rPr>
        <w:object w:dxaOrig="5679" w:dyaOrig="1357">
          <v:shape id="_x0000_i1030" type="#_x0000_t75" style="width:388.8pt;height:93.9pt" o:ole="">
            <v:imagedata r:id="rId18" o:title=""/>
          </v:shape>
          <o:OLEObject Type="Embed" ProgID="Visio.Drawing.11" ShapeID="_x0000_i1030" DrawAspect="Content" ObjectID="_1486905952" r:id="rId19"/>
        </w:object>
      </w:r>
    </w:p>
    <w:p w:rsidR="008B4095" w:rsidRDefault="00DA5E1D" w:rsidP="00A26D3A">
      <w:pPr>
        <w:pStyle w:val="Caption"/>
        <w:jc w:val="center"/>
      </w:pPr>
      <w:bookmarkStart w:id="2" w:name="_Ref412564233"/>
      <w:r>
        <w:t xml:space="preserve">Figure </w:t>
      </w:r>
      <w:r w:rsidR="00D92FD6">
        <w:fldChar w:fldCharType="begin"/>
      </w:r>
      <w:r w:rsidR="00D92FD6">
        <w:instrText xml:space="preserve"> SEQ Figure \* ARABIC </w:instrText>
      </w:r>
      <w:r w:rsidR="00D92FD6">
        <w:fldChar w:fldCharType="separate"/>
      </w:r>
      <w:r w:rsidR="006E454E">
        <w:rPr>
          <w:noProof/>
        </w:rPr>
        <w:t>6</w:t>
      </w:r>
      <w:r w:rsidR="00D92FD6">
        <w:rPr>
          <w:noProof/>
        </w:rPr>
        <w:fldChar w:fldCharType="end"/>
      </w:r>
      <w:bookmarkEnd w:id="2"/>
      <w:r>
        <w:t xml:space="preserve"> Uplink frame structure 1 (normal cell radius).</w:t>
      </w:r>
    </w:p>
    <w:p w:rsidR="00DA5E1D" w:rsidRPr="00DA5E1D" w:rsidRDefault="00DA5E1D" w:rsidP="006B6EC0"/>
    <w:p w:rsidR="00DA5E1D" w:rsidRDefault="005C2932" w:rsidP="008327F9">
      <w:pPr>
        <w:spacing w:after="0"/>
        <w:jc w:val="center"/>
      </w:pPr>
      <w:r>
        <w:object w:dxaOrig="5768" w:dyaOrig="1637">
          <v:shape id="_x0000_i1031" type="#_x0000_t75" style="width:388.8pt;height:107.7pt" o:ole="">
            <v:imagedata r:id="rId20" o:title=""/>
          </v:shape>
          <o:OLEObject Type="Embed" ProgID="Visio.Drawing.11" ShapeID="_x0000_i1031" DrawAspect="Content" ObjectID="_1486905953" r:id="rId21"/>
        </w:object>
      </w:r>
    </w:p>
    <w:p w:rsidR="008B4095" w:rsidRPr="008B4095" w:rsidRDefault="00DA5E1D" w:rsidP="00A26D3A">
      <w:pPr>
        <w:pStyle w:val="Caption"/>
        <w:jc w:val="center"/>
        <w:rPr>
          <w:lang w:val="en-GB" w:eastAsia="en-US"/>
        </w:rPr>
      </w:pPr>
      <w:bookmarkStart w:id="3" w:name="_Ref412564261"/>
      <w:r>
        <w:t xml:space="preserve">Figure </w:t>
      </w:r>
      <w:r w:rsidR="00D92FD6">
        <w:fldChar w:fldCharType="begin"/>
      </w:r>
      <w:r w:rsidR="00D92FD6">
        <w:instrText xml:space="preserve"> SEQ Figure \* ARABIC </w:instrText>
      </w:r>
      <w:r w:rsidR="00D92FD6">
        <w:fldChar w:fldCharType="separate"/>
      </w:r>
      <w:r w:rsidR="006E454E">
        <w:rPr>
          <w:noProof/>
        </w:rPr>
        <w:t>7</w:t>
      </w:r>
      <w:r w:rsidR="00D92FD6">
        <w:rPr>
          <w:noProof/>
        </w:rPr>
        <w:fldChar w:fldCharType="end"/>
      </w:r>
      <w:bookmarkEnd w:id="3"/>
      <w:r>
        <w:t xml:space="preserve"> Uplink frame structure (extended cell radius).</w:t>
      </w:r>
    </w:p>
    <w:p w:rsidR="008B4095" w:rsidRDefault="008B4095" w:rsidP="006B6EC0">
      <w:pPr>
        <w:rPr>
          <w:lang w:val="en-GB" w:eastAsia="en-US"/>
        </w:rPr>
      </w:pPr>
    </w:p>
    <w:p w:rsidR="00EF1CC5" w:rsidRDefault="00F00B90" w:rsidP="006B6EC0">
      <w:pPr>
        <w:rPr>
          <w:lang w:val="en-GB" w:eastAsia="en-US"/>
        </w:rPr>
      </w:pPr>
      <w:r>
        <w:rPr>
          <w:lang w:val="en-GB" w:eastAsia="en-US"/>
        </w:rPr>
        <w:t>There are in tota</w:t>
      </w:r>
      <w:r w:rsidR="00D930F9">
        <w:rPr>
          <w:lang w:val="en-GB" w:eastAsia="en-US"/>
        </w:rPr>
        <w:t>l 4 types of slots.</w:t>
      </w:r>
    </w:p>
    <w:p w:rsidR="00EF1CC5" w:rsidRPr="002966F4" w:rsidRDefault="00EF1CC5" w:rsidP="001E0760">
      <w:pPr>
        <w:pStyle w:val="ListParagraph"/>
        <w:numPr>
          <w:ilvl w:val="0"/>
          <w:numId w:val="29"/>
        </w:numPr>
        <w:spacing w:after="120"/>
        <w:ind w:left="357" w:hanging="357"/>
        <w:contextualSpacing w:val="0"/>
        <w:rPr>
          <w:rFonts w:ascii="Times New Roman" w:hAnsi="Times New Roman"/>
          <w:sz w:val="21"/>
          <w:szCs w:val="21"/>
          <w:lang w:val="en-GB"/>
        </w:rPr>
      </w:pPr>
      <w:r w:rsidRPr="002966F4">
        <w:rPr>
          <w:rFonts w:ascii="Times New Roman" w:hAnsi="Times New Roman"/>
          <w:sz w:val="21"/>
          <w:szCs w:val="21"/>
          <w:lang w:val="en-GB"/>
        </w:rPr>
        <w:t xml:space="preserve">Type 1 slots include downlink data slots and uplink normal slots. A type 1 slot consists of 14 symbols, each with 128 data samples. Symbol 0 has 12 CP samples and symbols 1 to 13 have 8 CP samples. A type 1 slot has a duration of </w:t>
      </w:r>
      <w:r w:rsidR="001E0760">
        <w:rPr>
          <w:rFonts w:ascii="Times New Roman" w:hAnsi="Times New Roman"/>
          <w:sz w:val="21"/>
          <w:szCs w:val="21"/>
          <w:lang w:val="en-GB"/>
        </w:rPr>
        <w:t>5962.5</w:t>
      </w:r>
      <w:r w:rsidR="001E0760" w:rsidRPr="00A903D3">
        <w:rPr>
          <w:rFonts w:ascii="Symbol" w:hAnsi="Symbol"/>
          <w:lang w:val="en-GB"/>
        </w:rPr>
        <w:t></w:t>
      </w:r>
      <w:r w:rsidR="001E0760">
        <w:rPr>
          <w:lang w:val="en-GB"/>
        </w:rPr>
        <w:t>s</w:t>
      </w:r>
      <w:r w:rsidRPr="002966F4">
        <w:rPr>
          <w:rFonts w:ascii="Times New Roman" w:hAnsi="Times New Roman"/>
          <w:sz w:val="21"/>
          <w:szCs w:val="21"/>
          <w:lang w:val="en-GB"/>
        </w:rPr>
        <w:t>. The construction of type 1 slots is depicted in Figure 8.</w:t>
      </w:r>
    </w:p>
    <w:p w:rsidR="00EF1CC5" w:rsidRPr="002966F4" w:rsidRDefault="00EF1CC5" w:rsidP="001E0760">
      <w:pPr>
        <w:pStyle w:val="ListParagraph"/>
        <w:numPr>
          <w:ilvl w:val="0"/>
          <w:numId w:val="29"/>
        </w:numPr>
        <w:spacing w:after="120"/>
        <w:ind w:left="357" w:hanging="357"/>
        <w:contextualSpacing w:val="0"/>
        <w:rPr>
          <w:rFonts w:ascii="Times New Roman" w:hAnsi="Times New Roman"/>
          <w:sz w:val="21"/>
          <w:szCs w:val="21"/>
          <w:lang w:val="en-GB"/>
        </w:rPr>
      </w:pPr>
      <w:r w:rsidRPr="002966F4">
        <w:rPr>
          <w:rFonts w:ascii="Times New Roman" w:hAnsi="Times New Roman"/>
          <w:sz w:val="21"/>
          <w:szCs w:val="21"/>
          <w:lang w:val="en-GB"/>
        </w:rPr>
        <w:t xml:space="preserve">Type 2 slots include extended slots in uplink frame structure 1. A type 2 slot consists of 14 symbols, each with 128 data samples and 18 CP samples. A type 2 slot has a duration of </w:t>
      </w:r>
      <w:r w:rsidR="001E0760">
        <w:rPr>
          <w:rFonts w:ascii="Times New Roman" w:hAnsi="Times New Roman"/>
          <w:sz w:val="21"/>
          <w:szCs w:val="21"/>
          <w:lang w:val="en-GB"/>
        </w:rPr>
        <w:t>6387.5</w:t>
      </w:r>
      <w:r w:rsidR="001E0760" w:rsidRPr="00A903D3">
        <w:rPr>
          <w:rFonts w:ascii="Symbol" w:hAnsi="Symbol"/>
          <w:lang w:val="en-GB"/>
        </w:rPr>
        <w:t></w:t>
      </w:r>
      <w:r w:rsidR="001E0760">
        <w:rPr>
          <w:lang w:val="en-GB"/>
        </w:rPr>
        <w:t>s</w:t>
      </w:r>
      <w:r w:rsidRPr="002966F4">
        <w:rPr>
          <w:rFonts w:ascii="Times New Roman" w:hAnsi="Times New Roman"/>
          <w:sz w:val="21"/>
          <w:szCs w:val="21"/>
          <w:lang w:val="en-GB"/>
        </w:rPr>
        <w:t>. The construction of type 2 slots is depicted in Figure 9.</w:t>
      </w:r>
    </w:p>
    <w:p w:rsidR="00D930F9" w:rsidRPr="002966F4" w:rsidRDefault="00EF1CC5" w:rsidP="001E0760">
      <w:pPr>
        <w:pStyle w:val="ListParagraph"/>
        <w:numPr>
          <w:ilvl w:val="0"/>
          <w:numId w:val="29"/>
        </w:numPr>
        <w:spacing w:after="120"/>
        <w:ind w:left="357" w:hanging="357"/>
        <w:contextualSpacing w:val="0"/>
        <w:rPr>
          <w:rFonts w:ascii="Times New Roman" w:hAnsi="Times New Roman"/>
          <w:sz w:val="21"/>
          <w:szCs w:val="21"/>
          <w:lang w:val="en-GB"/>
        </w:rPr>
      </w:pPr>
      <w:r w:rsidRPr="002966F4">
        <w:rPr>
          <w:rFonts w:ascii="Times New Roman" w:hAnsi="Times New Roman"/>
          <w:sz w:val="21"/>
          <w:szCs w:val="21"/>
          <w:lang w:val="en-GB"/>
        </w:rPr>
        <w:t>Type 3 slots are used for PUSCH during extended slots</w:t>
      </w:r>
      <w:r w:rsidR="00D930F9" w:rsidRPr="002966F4">
        <w:rPr>
          <w:rFonts w:ascii="Times New Roman" w:hAnsi="Times New Roman"/>
          <w:sz w:val="21"/>
          <w:szCs w:val="21"/>
          <w:lang w:val="en-GB"/>
        </w:rPr>
        <w:t xml:space="preserve"> of</w:t>
      </w:r>
      <w:r w:rsidRPr="002966F4">
        <w:rPr>
          <w:rFonts w:ascii="Times New Roman" w:hAnsi="Times New Roman"/>
          <w:sz w:val="21"/>
          <w:szCs w:val="21"/>
          <w:lang w:val="en-GB"/>
        </w:rPr>
        <w:t xml:space="preserve"> uplink frame structure 2. A type 3 slot consists </w:t>
      </w:r>
      <w:r w:rsidR="00D930F9" w:rsidRPr="002966F4">
        <w:rPr>
          <w:rFonts w:ascii="Times New Roman" w:hAnsi="Times New Roman"/>
          <w:sz w:val="21"/>
          <w:szCs w:val="21"/>
          <w:lang w:val="en-GB"/>
        </w:rPr>
        <w:t xml:space="preserve">of </w:t>
      </w:r>
      <w:r w:rsidRPr="002966F4">
        <w:rPr>
          <w:rFonts w:ascii="Times New Roman" w:hAnsi="Times New Roman"/>
          <w:sz w:val="21"/>
          <w:szCs w:val="21"/>
          <w:lang w:val="en-GB"/>
        </w:rPr>
        <w:t xml:space="preserve">14 symbols, each with 128 data samples and 8 CP samples. In addition, a silent period of 76 sample durations is inserted before each even-numbered symbol. </w:t>
      </w:r>
      <w:r w:rsidR="00D930F9" w:rsidRPr="002966F4">
        <w:rPr>
          <w:rFonts w:ascii="Times New Roman" w:hAnsi="Times New Roman"/>
          <w:sz w:val="21"/>
          <w:szCs w:val="21"/>
          <w:lang w:val="en-GB"/>
        </w:rPr>
        <w:t xml:space="preserve">A type 3 slot has a duration of </w:t>
      </w:r>
      <w:r w:rsidR="005F7DB9">
        <w:rPr>
          <w:rFonts w:ascii="Times New Roman" w:hAnsi="Times New Roman"/>
          <w:sz w:val="21"/>
          <w:szCs w:val="21"/>
          <w:lang w:val="en-GB"/>
        </w:rPr>
        <w:t>7612.5</w:t>
      </w:r>
      <w:r w:rsidR="005F7DB9" w:rsidRPr="00A903D3">
        <w:rPr>
          <w:rFonts w:ascii="Symbol" w:hAnsi="Symbol"/>
          <w:lang w:val="en-GB"/>
        </w:rPr>
        <w:t></w:t>
      </w:r>
      <w:r w:rsidR="005F7DB9">
        <w:rPr>
          <w:lang w:val="en-GB"/>
        </w:rPr>
        <w:t>s</w:t>
      </w:r>
      <w:r w:rsidR="00D930F9" w:rsidRPr="002966F4">
        <w:rPr>
          <w:rFonts w:ascii="Times New Roman" w:hAnsi="Times New Roman"/>
          <w:sz w:val="21"/>
          <w:szCs w:val="21"/>
          <w:lang w:val="en-GB"/>
        </w:rPr>
        <w:t>. The construction of type 3 slots is depicted in Figure 10.</w:t>
      </w:r>
    </w:p>
    <w:p w:rsidR="00D930F9" w:rsidRDefault="00D930F9" w:rsidP="001E0760">
      <w:pPr>
        <w:pStyle w:val="ListParagraph"/>
        <w:numPr>
          <w:ilvl w:val="0"/>
          <w:numId w:val="29"/>
        </w:numPr>
        <w:spacing w:after="120"/>
        <w:ind w:left="357" w:hanging="357"/>
        <w:contextualSpacing w:val="0"/>
        <w:rPr>
          <w:rFonts w:ascii="Times New Roman" w:hAnsi="Times New Roman"/>
          <w:sz w:val="21"/>
          <w:szCs w:val="21"/>
          <w:lang w:val="en-GB"/>
        </w:rPr>
      </w:pPr>
      <w:r w:rsidRPr="002966F4">
        <w:rPr>
          <w:rFonts w:ascii="Times New Roman" w:hAnsi="Times New Roman"/>
          <w:sz w:val="21"/>
          <w:szCs w:val="21"/>
          <w:lang w:val="en-GB"/>
        </w:rPr>
        <w:t>Type 4 slots are used for PRACH during extended slots of uplink frame structure 2. A type 4 slot consists of 7 symbols, each with 256 data samples</w:t>
      </w:r>
      <w:r w:rsidR="005F7DB9">
        <w:rPr>
          <w:rFonts w:ascii="Times New Roman" w:hAnsi="Times New Roman"/>
          <w:sz w:val="21"/>
          <w:szCs w:val="21"/>
          <w:lang w:val="en-GB"/>
        </w:rPr>
        <w:t xml:space="preserve"> and 92 CP samples. Type 4 slot</w:t>
      </w:r>
      <w:r w:rsidRPr="002966F4">
        <w:rPr>
          <w:rFonts w:ascii="Times New Roman" w:hAnsi="Times New Roman"/>
          <w:sz w:val="21"/>
          <w:szCs w:val="21"/>
          <w:lang w:val="en-GB"/>
        </w:rPr>
        <w:t xml:space="preserve"> </w:t>
      </w:r>
      <w:r w:rsidR="005F7DB9">
        <w:rPr>
          <w:rFonts w:ascii="Times New Roman" w:hAnsi="Times New Roman"/>
          <w:sz w:val="21"/>
          <w:szCs w:val="21"/>
          <w:lang w:val="en-GB"/>
        </w:rPr>
        <w:t xml:space="preserve">also </w:t>
      </w:r>
      <w:r w:rsidRPr="002966F4">
        <w:rPr>
          <w:rFonts w:ascii="Times New Roman" w:hAnsi="Times New Roman"/>
          <w:sz w:val="21"/>
          <w:szCs w:val="21"/>
          <w:lang w:val="en-GB"/>
        </w:rPr>
        <w:t xml:space="preserve">has a duration of </w:t>
      </w:r>
      <w:r w:rsidR="005F7DB9">
        <w:rPr>
          <w:rFonts w:ascii="Times New Roman" w:hAnsi="Times New Roman"/>
          <w:sz w:val="21"/>
          <w:szCs w:val="21"/>
          <w:lang w:val="en-GB"/>
        </w:rPr>
        <w:t>7612.5</w:t>
      </w:r>
      <w:r w:rsidR="005F7DB9" w:rsidRPr="00A903D3">
        <w:rPr>
          <w:rFonts w:ascii="Symbol" w:hAnsi="Symbol"/>
          <w:lang w:val="en-GB"/>
        </w:rPr>
        <w:t></w:t>
      </w:r>
      <w:r w:rsidR="005F7DB9">
        <w:rPr>
          <w:lang w:val="en-GB"/>
        </w:rPr>
        <w:t>s</w:t>
      </w:r>
      <w:r w:rsidRPr="002966F4">
        <w:rPr>
          <w:rFonts w:ascii="Times New Roman" w:hAnsi="Times New Roman"/>
          <w:sz w:val="21"/>
          <w:szCs w:val="21"/>
          <w:lang w:val="en-GB"/>
        </w:rPr>
        <w:t>, the same as that of type 3 slots. The construction of type 4 slots is depicted in Figure 11.</w:t>
      </w:r>
    </w:p>
    <w:p w:rsidR="005B448A" w:rsidRPr="002966F4" w:rsidRDefault="005B448A" w:rsidP="005B448A">
      <w:pPr>
        <w:pStyle w:val="ListParagraph"/>
        <w:spacing w:after="120"/>
        <w:ind w:left="357"/>
        <w:contextualSpacing w:val="0"/>
        <w:rPr>
          <w:rFonts w:ascii="Times New Roman" w:hAnsi="Times New Roman"/>
          <w:sz w:val="21"/>
          <w:szCs w:val="21"/>
          <w:lang w:val="en-GB"/>
        </w:rPr>
      </w:pPr>
    </w:p>
    <w:p w:rsidR="00D930F9" w:rsidRDefault="00F92C94" w:rsidP="008327F9">
      <w:pPr>
        <w:spacing w:after="0"/>
        <w:ind w:firstLine="357"/>
        <w:jc w:val="center"/>
      </w:pPr>
      <w:r>
        <w:object w:dxaOrig="5590" w:dyaOrig="1502">
          <v:shape id="_x0000_i1032" type="#_x0000_t75" style="width:331.2pt;height:86.4pt" o:ole="">
            <v:imagedata r:id="rId22" o:title=""/>
          </v:shape>
          <o:OLEObject Type="Embed" ProgID="Visio.Drawing.11" ShapeID="_x0000_i1032" DrawAspect="Content" ObjectID="_1486905954" r:id="rId23"/>
        </w:object>
      </w:r>
    </w:p>
    <w:p w:rsidR="00D930F9" w:rsidRDefault="00D930F9" w:rsidP="002966F4">
      <w:pPr>
        <w:pStyle w:val="Caption"/>
        <w:jc w:val="center"/>
      </w:pPr>
      <w:r>
        <w:t xml:space="preserve">Figure </w:t>
      </w:r>
      <w:r w:rsidR="00D92FD6">
        <w:fldChar w:fldCharType="begin"/>
      </w:r>
      <w:r w:rsidR="00D92FD6">
        <w:instrText xml:space="preserve"> SEQ Figure \* ARABIC </w:instrText>
      </w:r>
      <w:r w:rsidR="00D92FD6">
        <w:fldChar w:fldCharType="separate"/>
      </w:r>
      <w:r w:rsidR="006E454E">
        <w:rPr>
          <w:noProof/>
        </w:rPr>
        <w:t>8</w:t>
      </w:r>
      <w:r w:rsidR="00D92FD6">
        <w:rPr>
          <w:noProof/>
        </w:rPr>
        <w:fldChar w:fldCharType="end"/>
      </w:r>
      <w:r>
        <w:t xml:space="preserve"> Structure of type 1 slots.</w:t>
      </w:r>
    </w:p>
    <w:p w:rsidR="00D930F9" w:rsidRDefault="00D930F9" w:rsidP="006B6EC0">
      <w:pPr>
        <w:pStyle w:val="Caption"/>
      </w:pPr>
    </w:p>
    <w:p w:rsidR="00D930F9" w:rsidRDefault="00D930F9" w:rsidP="008327F9">
      <w:pPr>
        <w:pStyle w:val="Caption"/>
        <w:spacing w:after="0"/>
        <w:jc w:val="center"/>
      </w:pPr>
      <w:r>
        <w:object w:dxaOrig="5172" w:dyaOrig="1394">
          <v:shape id="_x0000_i1033" type="#_x0000_t75" style="width:324.3pt;height:86.4pt" o:ole="">
            <v:imagedata r:id="rId24" o:title=""/>
          </v:shape>
          <o:OLEObject Type="Embed" ProgID="Visio.Drawing.11" ShapeID="_x0000_i1033" DrawAspect="Content" ObjectID="_1486905955" r:id="rId25"/>
        </w:object>
      </w:r>
    </w:p>
    <w:p w:rsidR="00D930F9" w:rsidRDefault="00D930F9" w:rsidP="002966F4">
      <w:pPr>
        <w:pStyle w:val="Caption"/>
        <w:jc w:val="center"/>
      </w:pPr>
      <w:r>
        <w:t xml:space="preserve">Figure </w:t>
      </w:r>
      <w:r w:rsidR="00D92FD6">
        <w:fldChar w:fldCharType="begin"/>
      </w:r>
      <w:r w:rsidR="00D92FD6">
        <w:instrText xml:space="preserve"> SEQ Figure \* ARABIC </w:instrText>
      </w:r>
      <w:r w:rsidR="00D92FD6">
        <w:fldChar w:fldCharType="separate"/>
      </w:r>
      <w:r w:rsidR="006E454E">
        <w:rPr>
          <w:noProof/>
        </w:rPr>
        <w:t>9</w:t>
      </w:r>
      <w:r w:rsidR="00D92FD6">
        <w:rPr>
          <w:noProof/>
        </w:rPr>
        <w:fldChar w:fldCharType="end"/>
      </w:r>
      <w:r>
        <w:t xml:space="preserve"> Structure of type 2 slots.</w:t>
      </w:r>
    </w:p>
    <w:p w:rsidR="00EF1CC5" w:rsidRDefault="00D930F9" w:rsidP="006B6EC0">
      <w:pPr>
        <w:pStyle w:val="Caption"/>
      </w:pPr>
      <w:r>
        <w:t xml:space="preserve"> </w:t>
      </w:r>
    </w:p>
    <w:p w:rsidR="00F92C94" w:rsidRDefault="00F92C94" w:rsidP="008327F9">
      <w:pPr>
        <w:spacing w:after="0"/>
        <w:jc w:val="center"/>
      </w:pPr>
      <w:r>
        <w:object w:dxaOrig="6262" w:dyaOrig="1723">
          <v:shape id="_x0000_i1034" type="#_x0000_t75" style="width:367.5pt;height:100.8pt" o:ole="">
            <v:imagedata r:id="rId26" o:title=""/>
          </v:shape>
          <o:OLEObject Type="Embed" ProgID="Visio.Drawing.11" ShapeID="_x0000_i1034" DrawAspect="Content" ObjectID="_1486905956" r:id="rId27"/>
        </w:object>
      </w:r>
    </w:p>
    <w:p w:rsidR="00D930F9" w:rsidRPr="00D930F9" w:rsidRDefault="00F92C94" w:rsidP="002966F4">
      <w:pPr>
        <w:pStyle w:val="Caption"/>
        <w:jc w:val="center"/>
      </w:pPr>
      <w:r>
        <w:t xml:space="preserve">Figure </w:t>
      </w:r>
      <w:r w:rsidR="00D92FD6">
        <w:fldChar w:fldCharType="begin"/>
      </w:r>
      <w:r w:rsidR="00D92FD6">
        <w:instrText xml:space="preserve"> SEQ Figure \* ARABIC </w:instrText>
      </w:r>
      <w:r w:rsidR="00D92FD6">
        <w:fldChar w:fldCharType="separate"/>
      </w:r>
      <w:r w:rsidR="006E454E">
        <w:rPr>
          <w:noProof/>
        </w:rPr>
        <w:t>10</w:t>
      </w:r>
      <w:r w:rsidR="00D92FD6">
        <w:rPr>
          <w:noProof/>
        </w:rPr>
        <w:fldChar w:fldCharType="end"/>
      </w:r>
      <w:r>
        <w:t xml:space="preserve"> Structure of type 3 slots.</w:t>
      </w:r>
    </w:p>
    <w:p w:rsidR="00F00B90" w:rsidRDefault="00F00B90" w:rsidP="006B6EC0">
      <w:pPr>
        <w:rPr>
          <w:lang w:val="en-GB" w:eastAsia="en-US"/>
        </w:rPr>
      </w:pPr>
    </w:p>
    <w:p w:rsidR="00F92C94" w:rsidRDefault="005150A7" w:rsidP="008327F9">
      <w:pPr>
        <w:spacing w:after="0"/>
        <w:jc w:val="center"/>
      </w:pPr>
      <w:r>
        <w:rPr>
          <w:lang w:val="en-GB" w:eastAsia="en-US"/>
        </w:rPr>
        <w:object w:dxaOrig="5069" w:dyaOrig="1622">
          <v:shape id="_x0000_i1035" type="#_x0000_t75" style="width:381.9pt;height:115.2pt" o:ole="">
            <v:imagedata r:id="rId28" o:title=""/>
          </v:shape>
          <o:OLEObject Type="Embed" ProgID="Visio.Drawing.11" ShapeID="_x0000_i1035" DrawAspect="Content" ObjectID="_1486905957" r:id="rId29"/>
        </w:object>
      </w:r>
    </w:p>
    <w:p w:rsidR="00F92C94" w:rsidRDefault="00F92C94" w:rsidP="002966F4">
      <w:pPr>
        <w:pStyle w:val="Caption"/>
        <w:jc w:val="center"/>
      </w:pPr>
      <w:r>
        <w:t xml:space="preserve">Figure </w:t>
      </w:r>
      <w:r w:rsidR="00D92FD6">
        <w:fldChar w:fldCharType="begin"/>
      </w:r>
      <w:r w:rsidR="00D92FD6">
        <w:instrText xml:space="preserve"> SEQ Figure \* ARABIC </w:instrText>
      </w:r>
      <w:r w:rsidR="00D92FD6">
        <w:fldChar w:fldCharType="separate"/>
      </w:r>
      <w:r w:rsidR="006E454E">
        <w:rPr>
          <w:noProof/>
        </w:rPr>
        <w:t>11</w:t>
      </w:r>
      <w:r w:rsidR="00D92FD6">
        <w:rPr>
          <w:noProof/>
        </w:rPr>
        <w:fldChar w:fldCharType="end"/>
      </w:r>
      <w:r>
        <w:t xml:space="preserve"> Structure of type 4 slots.</w:t>
      </w:r>
    </w:p>
    <w:p w:rsidR="005F7DB9" w:rsidRDefault="005F7DB9" w:rsidP="006B6EC0">
      <w:pPr>
        <w:rPr>
          <w:lang w:eastAsia="en-US"/>
        </w:rPr>
      </w:pPr>
    </w:p>
    <w:p w:rsidR="008B4095" w:rsidRPr="008B4095" w:rsidRDefault="008B4095" w:rsidP="006B6EC0">
      <w:pPr>
        <w:rPr>
          <w:lang w:eastAsia="en-US"/>
        </w:rPr>
      </w:pPr>
      <w:r w:rsidRPr="008B4095">
        <w:rPr>
          <w:lang w:eastAsia="en-US"/>
        </w:rPr>
        <w:t>Time domain parameters:</w:t>
      </w:r>
    </w:p>
    <w:p w:rsidR="008B4095" w:rsidRPr="007D6325" w:rsidRDefault="00F92C94" w:rsidP="006B6EC0">
      <w:pPr>
        <w:pStyle w:val="ListParagraph"/>
        <w:numPr>
          <w:ilvl w:val="0"/>
          <w:numId w:val="17"/>
        </w:numPr>
        <w:rPr>
          <w:rFonts w:ascii="Times New Roman" w:hAnsi="Times New Roman"/>
          <w:sz w:val="21"/>
          <w:szCs w:val="21"/>
          <w:lang w:val="en-GB"/>
        </w:rPr>
      </w:pPr>
      <w:r w:rsidRPr="007D6325">
        <w:rPr>
          <w:rFonts w:ascii="Times New Roman" w:hAnsi="Times New Roman"/>
          <w:sz w:val="21"/>
          <w:szCs w:val="21"/>
          <w:lang w:val="en-GB"/>
        </w:rPr>
        <w:t>Baseband sample rate = 320 kHz (19.2 MHz /6</w:t>
      </w:r>
      <w:r w:rsidR="008B4095" w:rsidRPr="007D6325">
        <w:rPr>
          <w:rFonts w:ascii="Times New Roman" w:hAnsi="Times New Roman"/>
          <w:sz w:val="21"/>
          <w:szCs w:val="21"/>
          <w:lang w:val="en-GB"/>
        </w:rPr>
        <w:t xml:space="preserve">0) </w:t>
      </w:r>
    </w:p>
    <w:p w:rsidR="00F92C94" w:rsidRPr="007D6325" w:rsidRDefault="008B4095" w:rsidP="006B6EC0">
      <w:pPr>
        <w:pStyle w:val="ListParagraph"/>
        <w:numPr>
          <w:ilvl w:val="0"/>
          <w:numId w:val="17"/>
        </w:numPr>
        <w:rPr>
          <w:rFonts w:ascii="Times New Roman" w:hAnsi="Times New Roman"/>
          <w:sz w:val="21"/>
          <w:szCs w:val="21"/>
          <w:lang w:val="en-GB"/>
        </w:rPr>
      </w:pPr>
      <w:r w:rsidRPr="007D6325">
        <w:rPr>
          <w:rFonts w:ascii="Times New Roman" w:hAnsi="Times New Roman"/>
          <w:sz w:val="21"/>
          <w:szCs w:val="21"/>
          <w:lang w:val="en-GB"/>
        </w:rPr>
        <w:t>F</w:t>
      </w:r>
      <w:r w:rsidR="00F92C94" w:rsidRPr="007D6325">
        <w:rPr>
          <w:rFonts w:ascii="Times New Roman" w:hAnsi="Times New Roman"/>
          <w:sz w:val="21"/>
          <w:szCs w:val="21"/>
          <w:lang w:val="en-GB"/>
        </w:rPr>
        <w:t>FT length = 128 samples = 400</w:t>
      </w:r>
      <w:r w:rsidRPr="007D6325">
        <w:rPr>
          <w:rFonts w:ascii="Times New Roman" w:hAnsi="Times New Roman"/>
          <w:sz w:val="21"/>
          <w:szCs w:val="21"/>
          <w:lang w:val="en-GB"/>
        </w:rPr>
        <w:t xml:space="preserve"> µsec </w:t>
      </w:r>
    </w:p>
    <w:p w:rsidR="00F92C94" w:rsidRPr="007D6325" w:rsidRDefault="00F92C94" w:rsidP="006B6EC0">
      <w:pPr>
        <w:pStyle w:val="ListParagraph"/>
        <w:numPr>
          <w:ilvl w:val="1"/>
          <w:numId w:val="17"/>
        </w:numPr>
        <w:rPr>
          <w:rFonts w:ascii="Times New Roman" w:hAnsi="Times New Roman"/>
          <w:sz w:val="21"/>
          <w:szCs w:val="21"/>
          <w:lang w:val="en-GB"/>
        </w:rPr>
      </w:pPr>
      <w:r w:rsidRPr="007D6325">
        <w:rPr>
          <w:rFonts w:ascii="Times New Roman" w:hAnsi="Times New Roman"/>
          <w:sz w:val="21"/>
          <w:szCs w:val="21"/>
          <w:lang w:val="en-GB"/>
        </w:rPr>
        <w:t>FFT length =256 samples for PRACH symbols over large cells</w:t>
      </w:r>
    </w:p>
    <w:p w:rsidR="008B4095" w:rsidRPr="007D6325" w:rsidRDefault="008B4095" w:rsidP="006B6EC0">
      <w:pPr>
        <w:pStyle w:val="ListParagraph"/>
        <w:numPr>
          <w:ilvl w:val="0"/>
          <w:numId w:val="17"/>
        </w:numPr>
        <w:rPr>
          <w:rFonts w:ascii="Times New Roman" w:hAnsi="Times New Roman"/>
          <w:sz w:val="21"/>
          <w:szCs w:val="21"/>
          <w:lang w:val="en-GB"/>
        </w:rPr>
      </w:pPr>
      <w:r w:rsidRPr="007D6325">
        <w:rPr>
          <w:rFonts w:ascii="Times New Roman" w:hAnsi="Times New Roman"/>
          <w:sz w:val="21"/>
          <w:szCs w:val="21"/>
          <w:lang w:val="en-GB"/>
        </w:rPr>
        <w:t>Cyclic Prefix (CP) length</w:t>
      </w:r>
    </w:p>
    <w:p w:rsidR="008B4095" w:rsidRPr="007D6325" w:rsidRDefault="00F92C94" w:rsidP="006B6EC0">
      <w:pPr>
        <w:pStyle w:val="ListParagraph"/>
        <w:numPr>
          <w:ilvl w:val="1"/>
          <w:numId w:val="17"/>
        </w:numPr>
        <w:rPr>
          <w:rFonts w:ascii="Times New Roman" w:hAnsi="Times New Roman"/>
          <w:sz w:val="21"/>
          <w:szCs w:val="21"/>
          <w:lang w:val="en-GB"/>
        </w:rPr>
      </w:pPr>
      <w:r w:rsidRPr="007D6325">
        <w:rPr>
          <w:rFonts w:ascii="Times New Roman" w:hAnsi="Times New Roman"/>
          <w:sz w:val="21"/>
          <w:szCs w:val="21"/>
          <w:lang w:val="en-GB"/>
        </w:rPr>
        <w:t>Normal CP: 8 samples (25</w:t>
      </w:r>
      <w:r w:rsidR="008B4095" w:rsidRPr="007D6325">
        <w:rPr>
          <w:rFonts w:ascii="Times New Roman" w:hAnsi="Times New Roman"/>
          <w:sz w:val="21"/>
          <w:szCs w:val="21"/>
          <w:lang w:val="en-GB"/>
        </w:rPr>
        <w:t xml:space="preserve"> µsec)</w:t>
      </w:r>
    </w:p>
    <w:p w:rsidR="008B4095" w:rsidRPr="007D6325" w:rsidRDefault="008B4095" w:rsidP="006B6EC0">
      <w:pPr>
        <w:pStyle w:val="ListParagraph"/>
        <w:numPr>
          <w:ilvl w:val="1"/>
          <w:numId w:val="17"/>
        </w:numPr>
        <w:rPr>
          <w:rFonts w:ascii="Times New Roman" w:hAnsi="Times New Roman"/>
          <w:sz w:val="21"/>
          <w:szCs w:val="21"/>
          <w:lang w:val="en-GB"/>
        </w:rPr>
      </w:pPr>
      <w:r w:rsidRPr="007D6325">
        <w:rPr>
          <w:rFonts w:ascii="Times New Roman" w:hAnsi="Times New Roman"/>
          <w:sz w:val="21"/>
          <w:szCs w:val="21"/>
          <w:lang w:val="en-GB"/>
        </w:rPr>
        <w:t>Extended CP</w:t>
      </w:r>
      <w:r w:rsidR="00F92C94" w:rsidRPr="007D6325">
        <w:rPr>
          <w:rFonts w:ascii="Times New Roman" w:hAnsi="Times New Roman"/>
          <w:sz w:val="21"/>
          <w:szCs w:val="21"/>
          <w:lang w:val="en-GB"/>
        </w:rPr>
        <w:t xml:space="preserve"> for normal cells</w:t>
      </w:r>
      <w:r w:rsidRPr="007D6325">
        <w:rPr>
          <w:rFonts w:ascii="Times New Roman" w:hAnsi="Times New Roman"/>
          <w:sz w:val="21"/>
          <w:szCs w:val="21"/>
          <w:lang w:val="en-GB"/>
        </w:rPr>
        <w:t>: 18 samples (</w:t>
      </w:r>
      <w:r w:rsidR="00F92C94" w:rsidRPr="007D6325">
        <w:rPr>
          <w:rFonts w:ascii="Times New Roman" w:hAnsi="Times New Roman"/>
          <w:sz w:val="21"/>
          <w:szCs w:val="21"/>
          <w:lang w:val="en-GB"/>
        </w:rPr>
        <w:t>5</w:t>
      </w:r>
      <w:r w:rsidRPr="007D6325">
        <w:rPr>
          <w:rFonts w:ascii="Times New Roman" w:hAnsi="Times New Roman"/>
          <w:sz w:val="21"/>
          <w:szCs w:val="21"/>
          <w:lang w:val="en-GB"/>
        </w:rPr>
        <w:t>6</w:t>
      </w:r>
      <w:r w:rsidR="00F92C94" w:rsidRPr="007D6325">
        <w:rPr>
          <w:rFonts w:ascii="Times New Roman" w:hAnsi="Times New Roman"/>
          <w:sz w:val="21"/>
          <w:szCs w:val="21"/>
          <w:lang w:val="en-GB"/>
        </w:rPr>
        <w:t>.2</w:t>
      </w:r>
      <w:r w:rsidRPr="007D6325">
        <w:rPr>
          <w:rFonts w:ascii="Times New Roman" w:hAnsi="Times New Roman"/>
          <w:sz w:val="21"/>
          <w:szCs w:val="21"/>
          <w:lang w:val="en-GB"/>
        </w:rPr>
        <w:t>5 µsec)</w:t>
      </w:r>
    </w:p>
    <w:p w:rsidR="00F92C94" w:rsidRPr="007D6325" w:rsidRDefault="00F92C94" w:rsidP="006B6EC0">
      <w:pPr>
        <w:pStyle w:val="ListParagraph"/>
        <w:numPr>
          <w:ilvl w:val="1"/>
          <w:numId w:val="17"/>
        </w:numPr>
        <w:rPr>
          <w:rFonts w:ascii="Times New Roman" w:hAnsi="Times New Roman"/>
          <w:sz w:val="21"/>
          <w:szCs w:val="21"/>
          <w:lang w:val="en-GB"/>
        </w:rPr>
      </w:pPr>
      <w:r w:rsidRPr="007D6325">
        <w:rPr>
          <w:rFonts w:ascii="Times New Roman" w:hAnsi="Times New Roman"/>
          <w:sz w:val="21"/>
          <w:szCs w:val="21"/>
          <w:lang w:val="en-GB"/>
        </w:rPr>
        <w:t>Extended CP for large cells: 92 samples (287.5 µsec)</w:t>
      </w:r>
    </w:p>
    <w:p w:rsidR="00DF0B66" w:rsidRDefault="00DF0B66" w:rsidP="008327F9">
      <w:pPr>
        <w:spacing w:after="0"/>
        <w:jc w:val="center"/>
      </w:pPr>
      <w:r>
        <w:rPr>
          <w:lang w:val="en-GB" w:eastAsia="en-US"/>
        </w:rPr>
        <w:t>Pilot symbols are inserted for channel estimation. All</w:t>
      </w:r>
      <w:r w:rsidR="00517297">
        <w:rPr>
          <w:lang w:val="en-GB" w:eastAsia="en-US"/>
        </w:rPr>
        <w:t xml:space="preserve"> types</w:t>
      </w:r>
      <w:r>
        <w:rPr>
          <w:lang w:val="en-GB" w:eastAsia="en-US"/>
        </w:rPr>
        <w:t xml:space="preserve"> 1 and</w:t>
      </w:r>
      <w:r w:rsidR="00517297">
        <w:rPr>
          <w:lang w:val="en-GB" w:eastAsia="en-US"/>
        </w:rPr>
        <w:t xml:space="preserve"> 3 </w:t>
      </w:r>
      <w:r>
        <w:rPr>
          <w:lang w:val="en-GB" w:eastAsia="en-US"/>
        </w:rPr>
        <w:t>slots and all</w:t>
      </w:r>
      <w:r w:rsidR="00517297">
        <w:rPr>
          <w:lang w:val="en-GB" w:eastAsia="en-US"/>
        </w:rPr>
        <w:t xml:space="preserve"> types</w:t>
      </w:r>
      <w:r>
        <w:rPr>
          <w:lang w:val="en-GB" w:eastAsia="en-US"/>
        </w:rPr>
        <w:t xml:space="preserve"> 2 and </w:t>
      </w:r>
      <w:r w:rsidR="00517297">
        <w:rPr>
          <w:lang w:val="en-GB" w:eastAsia="en-US"/>
        </w:rPr>
        <w:t xml:space="preserve">4 slots belonging to </w:t>
      </w:r>
      <w:r>
        <w:rPr>
          <w:lang w:val="en-GB" w:eastAsia="en-US"/>
        </w:rPr>
        <w:t>PUSCH</w:t>
      </w:r>
      <w:r w:rsidR="00517297">
        <w:rPr>
          <w:lang w:val="en-GB" w:eastAsia="en-US"/>
        </w:rPr>
        <w:t xml:space="preserve"> </w:t>
      </w:r>
      <w:r>
        <w:rPr>
          <w:lang w:val="en-GB" w:eastAsia="en-US"/>
        </w:rPr>
        <w:t>consist</w:t>
      </w:r>
      <w:r w:rsidR="008B4095" w:rsidRPr="008B4095">
        <w:rPr>
          <w:lang w:val="en-GB" w:eastAsia="en-US"/>
        </w:rPr>
        <w:t xml:space="preserve"> of 2 pilot symbols and 12 data symbols</w:t>
      </w:r>
      <w:r>
        <w:rPr>
          <w:lang w:val="en-GB" w:eastAsia="en-US"/>
        </w:rPr>
        <w:t>, as shown in Figure 12.</w:t>
      </w:r>
      <w:r w:rsidR="008B4095" w:rsidRPr="008B4095">
        <w:rPr>
          <w:lang w:val="en-GB" w:eastAsia="en-US"/>
        </w:rPr>
        <w:t xml:space="preserve"> </w:t>
      </w:r>
      <w:r w:rsidR="008327F9" w:rsidRPr="008B4095">
        <w:rPr>
          <w:lang w:val="en-GB" w:eastAsia="en-US"/>
        </w:rPr>
        <w:object w:dxaOrig="3906" w:dyaOrig="2608">
          <v:shape id="_x0000_i1036" type="#_x0000_t75" style="width:251.7pt;height:165.9pt" o:ole="">
            <v:imagedata r:id="rId30" o:title=""/>
          </v:shape>
          <o:OLEObject Type="Embed" ProgID="Visio.Drawing.11" ShapeID="_x0000_i1036" DrawAspect="Content" ObjectID="_1486905958" r:id="rId31"/>
        </w:object>
      </w:r>
    </w:p>
    <w:p w:rsidR="008B4095" w:rsidRPr="008B4095" w:rsidRDefault="00DF0B66" w:rsidP="0049006C">
      <w:pPr>
        <w:pStyle w:val="Caption"/>
        <w:jc w:val="center"/>
        <w:rPr>
          <w:lang w:val="en-GB" w:eastAsia="en-US"/>
        </w:rPr>
      </w:pPr>
      <w:r>
        <w:t xml:space="preserve">Figure </w:t>
      </w:r>
      <w:r w:rsidR="00D92FD6">
        <w:fldChar w:fldCharType="begin"/>
      </w:r>
      <w:r w:rsidR="00D92FD6">
        <w:instrText xml:space="preserve"> SEQ Figure \* ARABIC </w:instrText>
      </w:r>
      <w:r w:rsidR="00D92FD6">
        <w:fldChar w:fldCharType="separate"/>
      </w:r>
      <w:r w:rsidR="006E454E">
        <w:rPr>
          <w:noProof/>
        </w:rPr>
        <w:t>12</w:t>
      </w:r>
      <w:r w:rsidR="00D92FD6">
        <w:rPr>
          <w:noProof/>
        </w:rPr>
        <w:fldChar w:fldCharType="end"/>
      </w:r>
      <w:r>
        <w:t xml:space="preserve"> Pilot structure of slot types 1 and 3, and PUSCH slots of type 3 and 4.</w:t>
      </w:r>
    </w:p>
    <w:p w:rsidR="008B4095" w:rsidRDefault="008B4095" w:rsidP="006B6EC0">
      <w:pPr>
        <w:rPr>
          <w:lang w:val="en-GB" w:eastAsia="en-US"/>
        </w:rPr>
      </w:pPr>
    </w:p>
    <w:p w:rsidR="00DF0B66" w:rsidRPr="008B4095" w:rsidRDefault="007F13E6" w:rsidP="006B6EC0">
      <w:pPr>
        <w:rPr>
          <w:lang w:val="en-GB" w:eastAsia="en-US"/>
        </w:rPr>
      </w:pPr>
      <w:r>
        <w:rPr>
          <w:lang w:val="en-GB" w:eastAsia="en-US"/>
        </w:rPr>
        <w:t>The pilot structure of type 2</w:t>
      </w:r>
      <w:r w:rsidR="00DF0B66">
        <w:rPr>
          <w:lang w:val="en-GB" w:eastAsia="en-US"/>
        </w:rPr>
        <w:t xml:space="preserve"> </w:t>
      </w:r>
      <w:r>
        <w:rPr>
          <w:lang w:val="en-GB" w:eastAsia="en-US"/>
        </w:rPr>
        <w:t xml:space="preserve">PRACH </w:t>
      </w:r>
      <w:r w:rsidR="00DF0B66">
        <w:rPr>
          <w:lang w:val="en-GB" w:eastAsia="en-US"/>
        </w:rPr>
        <w:t>slots is depicted in Figure 13. Note</w:t>
      </w:r>
      <w:r>
        <w:rPr>
          <w:lang w:val="en-GB" w:eastAsia="en-US"/>
        </w:rPr>
        <w:t xml:space="preserve"> a</w:t>
      </w:r>
      <w:r w:rsidR="00DF0B66">
        <w:rPr>
          <w:lang w:val="en-GB" w:eastAsia="en-US"/>
        </w:rPr>
        <w:t xml:space="preserve"> </w:t>
      </w:r>
      <w:r>
        <w:rPr>
          <w:lang w:val="en-GB" w:eastAsia="en-US"/>
        </w:rPr>
        <w:t>type-2 PRACH slot</w:t>
      </w:r>
      <w:r w:rsidR="00DF0B66">
        <w:rPr>
          <w:lang w:val="en-GB" w:eastAsia="en-US"/>
        </w:rPr>
        <w:t xml:space="preserve"> only </w:t>
      </w:r>
      <w:r>
        <w:rPr>
          <w:lang w:val="en-GB" w:eastAsia="en-US"/>
        </w:rPr>
        <w:t>0ccupies</w:t>
      </w:r>
      <w:r w:rsidR="00DF0B66">
        <w:rPr>
          <w:lang w:val="en-GB" w:eastAsia="en-US"/>
        </w:rPr>
        <w:t xml:space="preserve"> one tone. </w:t>
      </w:r>
    </w:p>
    <w:p w:rsidR="00DF0B66" w:rsidRDefault="008327F9" w:rsidP="008327F9">
      <w:pPr>
        <w:spacing w:after="0"/>
        <w:jc w:val="center"/>
      </w:pPr>
      <w:r>
        <w:rPr>
          <w:lang w:val="en-GB" w:eastAsia="en-US"/>
        </w:rPr>
        <w:object w:dxaOrig="3171" w:dyaOrig="1887">
          <v:shape id="_x0000_i1037" type="#_x0000_t75" style="width:258.6pt;height:137.1pt" o:ole="">
            <v:imagedata r:id="rId32" o:title=""/>
          </v:shape>
          <o:OLEObject Type="Embed" ProgID="Visio.Drawing.11" ShapeID="_x0000_i1037" DrawAspect="Content" ObjectID="_1486905959" r:id="rId33"/>
        </w:object>
      </w:r>
    </w:p>
    <w:p w:rsidR="008B4095" w:rsidRPr="008B4095" w:rsidRDefault="00DF0B66" w:rsidP="00140B01">
      <w:pPr>
        <w:pStyle w:val="Caption"/>
        <w:jc w:val="center"/>
        <w:rPr>
          <w:lang w:val="en-GB" w:eastAsia="en-US"/>
        </w:rPr>
      </w:pPr>
      <w:r>
        <w:t xml:space="preserve">Figure </w:t>
      </w:r>
      <w:r w:rsidR="00D92FD6">
        <w:fldChar w:fldCharType="begin"/>
      </w:r>
      <w:r w:rsidR="00D92FD6">
        <w:instrText xml:space="preserve"> SEQ Figure \* ARABIC </w:instrText>
      </w:r>
      <w:r w:rsidR="00D92FD6">
        <w:fldChar w:fldCharType="separate"/>
      </w:r>
      <w:r w:rsidR="006E454E">
        <w:rPr>
          <w:noProof/>
        </w:rPr>
        <w:t>13</w:t>
      </w:r>
      <w:r w:rsidR="00D92FD6">
        <w:rPr>
          <w:noProof/>
        </w:rPr>
        <w:fldChar w:fldCharType="end"/>
      </w:r>
      <w:r w:rsidR="007F13E6">
        <w:t xml:space="preserve"> Pilot structure of type 3 slots belonging to PRACH.</w:t>
      </w:r>
    </w:p>
    <w:p w:rsidR="008B4095" w:rsidRDefault="008B4095" w:rsidP="006B6EC0">
      <w:pPr>
        <w:rPr>
          <w:lang w:val="en-GB" w:eastAsia="en-US"/>
        </w:rPr>
      </w:pPr>
    </w:p>
    <w:p w:rsidR="007F13E6" w:rsidRDefault="007F13E6" w:rsidP="006B6EC0">
      <w:pPr>
        <w:rPr>
          <w:lang w:val="en-GB" w:eastAsia="en-US"/>
        </w:rPr>
      </w:pPr>
      <w:r>
        <w:rPr>
          <w:lang w:val="en-GB" w:eastAsia="en-US"/>
        </w:rPr>
        <w:t>There are two pilot patterns for type 4 PRACH slots</w:t>
      </w:r>
      <w:r w:rsidR="006E454E">
        <w:rPr>
          <w:lang w:val="en-GB" w:eastAsia="en-US"/>
        </w:rPr>
        <w:t xml:space="preserve">: pattern 1 used for single-tone PRACH and pattern 2 used for two-tone PRACH, </w:t>
      </w:r>
      <w:r>
        <w:rPr>
          <w:lang w:val="en-GB" w:eastAsia="en-US"/>
        </w:rPr>
        <w:t>as depicted in Figure 14.</w:t>
      </w:r>
      <w:r w:rsidR="006E454E">
        <w:rPr>
          <w:lang w:val="en-GB" w:eastAsia="en-US"/>
        </w:rPr>
        <w:t xml:space="preserve"> </w:t>
      </w:r>
    </w:p>
    <w:p w:rsidR="006E454E" w:rsidRDefault="006E454E" w:rsidP="008327F9">
      <w:pPr>
        <w:spacing w:after="0"/>
        <w:jc w:val="center"/>
      </w:pPr>
      <w:r>
        <w:rPr>
          <w:lang w:val="en-GB" w:eastAsia="en-US"/>
        </w:rPr>
        <w:object w:dxaOrig="6943" w:dyaOrig="2708">
          <v:shape id="_x0000_i1038" type="#_x0000_t75" style="width:345.6pt;height:122.7pt" o:ole="">
            <v:imagedata r:id="rId34" o:title=""/>
          </v:shape>
          <o:OLEObject Type="Embed" ProgID="Visio.Drawing.11" ShapeID="_x0000_i1038" DrawAspect="Content" ObjectID="_1486905960" r:id="rId35"/>
        </w:object>
      </w:r>
    </w:p>
    <w:p w:rsidR="007F13E6" w:rsidRDefault="006E454E" w:rsidP="008C1F6D">
      <w:pPr>
        <w:pStyle w:val="Caption"/>
        <w:jc w:val="center"/>
        <w:rPr>
          <w:lang w:val="en-GB" w:eastAsia="en-US"/>
        </w:rPr>
      </w:pPr>
      <w:r>
        <w:t xml:space="preserve">Figure </w:t>
      </w:r>
      <w:r w:rsidR="00D92FD6">
        <w:fldChar w:fldCharType="begin"/>
      </w:r>
      <w:r w:rsidR="00D92FD6">
        <w:instrText xml:space="preserve"> SEQ Figure \* ARABIC </w:instrText>
      </w:r>
      <w:r w:rsidR="00D92FD6">
        <w:fldChar w:fldCharType="separate"/>
      </w:r>
      <w:r>
        <w:rPr>
          <w:noProof/>
        </w:rPr>
        <w:t>14</w:t>
      </w:r>
      <w:r w:rsidR="00D92FD6">
        <w:rPr>
          <w:noProof/>
        </w:rPr>
        <w:fldChar w:fldCharType="end"/>
      </w:r>
      <w:r>
        <w:t xml:space="preserve"> Pilot structure for type 4 PRACH slots.</w:t>
      </w:r>
    </w:p>
    <w:p w:rsidR="00030FF3" w:rsidRPr="00030FF3" w:rsidRDefault="00030FF3" w:rsidP="006B6EC0">
      <w:pPr>
        <w:pStyle w:val="Caption"/>
      </w:pPr>
    </w:p>
    <w:p w:rsidR="00D50503" w:rsidRPr="00AE4B4A" w:rsidRDefault="00D50503" w:rsidP="003606DF">
      <w:pPr>
        <w:pStyle w:val="Heading1"/>
      </w:pPr>
      <w:r w:rsidRPr="00AE4B4A">
        <w:lastRenderedPageBreak/>
        <w:t>Summary</w:t>
      </w:r>
    </w:p>
    <w:p w:rsidR="00572D5B" w:rsidRDefault="00572D5B" w:rsidP="00572D5B">
      <w:pPr>
        <w:rPr>
          <w:lang w:val="en-GB" w:eastAsia="en-US"/>
        </w:rPr>
      </w:pPr>
      <w:r>
        <w:rPr>
          <w:lang w:val="en-GB" w:eastAsia="en-US"/>
        </w:rPr>
        <w:t xml:space="preserve">It is proposed to change the tone </w:t>
      </w:r>
      <w:r w:rsidR="00A62E5B">
        <w:rPr>
          <w:lang w:val="en-GB" w:eastAsia="en-US"/>
        </w:rPr>
        <w:t>spacing</w:t>
      </w:r>
      <w:r>
        <w:rPr>
          <w:lang w:val="en-GB" w:eastAsia="en-US"/>
        </w:rPr>
        <w:t xml:space="preserve"> of NB-OFDMA from 2.25 kHz to 2.5 kHz for better coexistence with LTE systems. The revised frame and slot structure is also presented.</w:t>
      </w:r>
    </w:p>
    <w:p w:rsidR="00E35589" w:rsidRDefault="00572D5B" w:rsidP="006B6EC0">
      <w:pPr>
        <w:rPr>
          <w:lang w:val="en-GB" w:eastAsia="en-US"/>
        </w:rPr>
      </w:pPr>
      <w:r>
        <w:rPr>
          <w:lang w:val="en-GB" w:eastAsia="en-US"/>
        </w:rPr>
        <w:t xml:space="preserve">It is proposed to capture the principle of section 4 in the text of NB-OFDMA section in the TR </w:t>
      </w:r>
      <w:r>
        <w:rPr>
          <w:lang w:val="en-GB" w:eastAsia="en-US"/>
        </w:rPr>
        <w:fldChar w:fldCharType="begin"/>
      </w:r>
      <w:r>
        <w:rPr>
          <w:lang w:val="en-GB" w:eastAsia="en-US"/>
        </w:rPr>
        <w:instrText xml:space="preserve"> REF _Ref410028732 \r \h </w:instrText>
      </w:r>
      <w:r>
        <w:rPr>
          <w:lang w:val="en-GB" w:eastAsia="en-US"/>
        </w:rPr>
      </w:r>
      <w:r>
        <w:rPr>
          <w:lang w:val="en-GB" w:eastAsia="en-US"/>
        </w:rPr>
        <w:fldChar w:fldCharType="separate"/>
      </w:r>
      <w:r w:rsidR="000637AB">
        <w:rPr>
          <w:lang w:val="en-GB" w:eastAsia="en-US"/>
        </w:rPr>
        <w:t>[5]</w:t>
      </w:r>
      <w:r>
        <w:rPr>
          <w:lang w:val="en-GB" w:eastAsia="en-US"/>
        </w:rPr>
        <w:fldChar w:fldCharType="end"/>
      </w:r>
      <w:r w:rsidR="00A62E5B">
        <w:rPr>
          <w:lang w:val="en-GB" w:eastAsia="en-US"/>
        </w:rPr>
        <w:t xml:space="preserve"> </w:t>
      </w:r>
      <w:r w:rsidR="0047401B">
        <w:rPr>
          <w:lang w:val="en-GB" w:eastAsia="en-US"/>
        </w:rPr>
        <w:t xml:space="preserve">and </w:t>
      </w:r>
      <w:r w:rsidR="00233F20">
        <w:rPr>
          <w:lang w:val="en-GB" w:eastAsia="en-US"/>
        </w:rPr>
        <w:t xml:space="preserve">relevant text from this document is incorporated in </w:t>
      </w:r>
      <w:r w:rsidR="0047401B">
        <w:rPr>
          <w:lang w:val="en-GB" w:eastAsia="en-US"/>
        </w:rPr>
        <w:fldChar w:fldCharType="begin"/>
      </w:r>
      <w:r w:rsidR="0047401B">
        <w:rPr>
          <w:lang w:val="en-GB" w:eastAsia="en-US"/>
        </w:rPr>
        <w:instrText xml:space="preserve"> REF _Ref412796599 \r \h </w:instrText>
      </w:r>
      <w:r w:rsidR="0047401B">
        <w:rPr>
          <w:lang w:val="en-GB" w:eastAsia="en-US"/>
        </w:rPr>
      </w:r>
      <w:r w:rsidR="0047401B">
        <w:rPr>
          <w:lang w:val="en-GB" w:eastAsia="en-US"/>
        </w:rPr>
        <w:fldChar w:fldCharType="separate"/>
      </w:r>
      <w:r w:rsidR="000637AB">
        <w:rPr>
          <w:lang w:val="en-GB" w:eastAsia="en-US"/>
        </w:rPr>
        <w:t>[6]</w:t>
      </w:r>
      <w:r w:rsidR="0047401B">
        <w:rPr>
          <w:lang w:val="en-GB" w:eastAsia="en-US"/>
        </w:rPr>
        <w:fldChar w:fldCharType="end"/>
      </w:r>
      <w:r w:rsidR="0047401B">
        <w:rPr>
          <w:lang w:val="en-GB" w:eastAsia="en-US"/>
        </w:rPr>
        <w:t>.</w:t>
      </w:r>
    </w:p>
    <w:p w:rsidR="00D50503" w:rsidRPr="00D50503" w:rsidRDefault="00D2146F" w:rsidP="006B6EC0">
      <w:pPr>
        <w:rPr>
          <w:lang w:val="en-GB" w:eastAsia="en-US"/>
        </w:rPr>
      </w:pPr>
      <w:r>
        <w:rPr>
          <w:lang w:val="en-GB" w:eastAsia="en-US"/>
        </w:rPr>
        <w:t xml:space="preserve"> </w:t>
      </w:r>
    </w:p>
    <w:p w:rsidR="00B638B0" w:rsidRPr="00B638B0" w:rsidRDefault="00F14A08" w:rsidP="003606DF">
      <w:pPr>
        <w:pStyle w:val="Heading1"/>
      </w:pPr>
      <w:r w:rsidRPr="002C59DB">
        <w:t>References</w:t>
      </w:r>
      <w:bookmarkStart w:id="4" w:name="_Ref400380424"/>
      <w:bookmarkStart w:id="5" w:name="_Ref222280625"/>
      <w:bookmarkStart w:id="6" w:name="_Ref211321859"/>
      <w:bookmarkStart w:id="7" w:name="_Ref220829353"/>
    </w:p>
    <w:p w:rsidR="002C59DB" w:rsidRPr="001D4280" w:rsidRDefault="0084696D" w:rsidP="001D4280">
      <w:pPr>
        <w:pStyle w:val="ListParagraph"/>
        <w:numPr>
          <w:ilvl w:val="0"/>
          <w:numId w:val="21"/>
        </w:numPr>
        <w:spacing w:after="120"/>
        <w:contextualSpacing w:val="0"/>
        <w:rPr>
          <w:rFonts w:ascii="Times New Roman" w:hAnsi="Times New Roman"/>
          <w:sz w:val="21"/>
          <w:szCs w:val="21"/>
        </w:rPr>
      </w:pPr>
      <w:r w:rsidRPr="001D4280">
        <w:rPr>
          <w:rFonts w:ascii="Times New Roman" w:hAnsi="Times New Roman"/>
          <w:sz w:val="21"/>
          <w:szCs w:val="21"/>
        </w:rPr>
        <w:t>GP-140421, New Study Item on Cellular System Support for Ultra Low Complexity and Low Throughput Internet of Things, VODAFONE Group Plc. , GERAN</w:t>
      </w:r>
      <w:r w:rsidR="002A36EC" w:rsidRPr="001D4280">
        <w:rPr>
          <w:rFonts w:ascii="Times New Roman" w:hAnsi="Times New Roman"/>
          <w:sz w:val="21"/>
          <w:szCs w:val="21"/>
        </w:rPr>
        <w:t xml:space="preserve"> </w:t>
      </w:r>
      <w:r w:rsidRPr="001D4280">
        <w:rPr>
          <w:rFonts w:ascii="Times New Roman" w:hAnsi="Times New Roman"/>
          <w:sz w:val="21"/>
          <w:szCs w:val="21"/>
        </w:rPr>
        <w:t>#62</w:t>
      </w:r>
      <w:bookmarkEnd w:id="4"/>
      <w:bookmarkEnd w:id="5"/>
      <w:r w:rsidR="00014DD5" w:rsidRPr="001D4280">
        <w:rPr>
          <w:rFonts w:ascii="Times New Roman" w:hAnsi="Times New Roman"/>
          <w:sz w:val="21"/>
          <w:szCs w:val="21"/>
        </w:rPr>
        <w:t>, May 2014</w:t>
      </w:r>
    </w:p>
    <w:p w:rsidR="005F6C25" w:rsidRPr="001D4280" w:rsidRDefault="005F6C25" w:rsidP="001D4280">
      <w:pPr>
        <w:pStyle w:val="ListParagraph"/>
        <w:numPr>
          <w:ilvl w:val="0"/>
          <w:numId w:val="21"/>
        </w:numPr>
        <w:spacing w:after="120"/>
        <w:contextualSpacing w:val="0"/>
        <w:rPr>
          <w:rFonts w:ascii="Times New Roman" w:hAnsi="Times New Roman"/>
          <w:sz w:val="21"/>
          <w:szCs w:val="21"/>
        </w:rPr>
      </w:pPr>
      <w:r w:rsidRPr="001D4280">
        <w:rPr>
          <w:rFonts w:ascii="Times New Roman" w:hAnsi="Times New Roman"/>
          <w:sz w:val="21"/>
          <w:szCs w:val="21"/>
        </w:rPr>
        <w:t xml:space="preserve">GP-140839, Narrow Band OFDMA based proposal for GERAN Cellular </w:t>
      </w:r>
      <w:proofErr w:type="spellStart"/>
      <w:r w:rsidRPr="001D4280">
        <w:rPr>
          <w:rFonts w:ascii="Times New Roman" w:hAnsi="Times New Roman"/>
          <w:sz w:val="21"/>
          <w:szCs w:val="21"/>
        </w:rPr>
        <w:t>IoT</w:t>
      </w:r>
      <w:proofErr w:type="spellEnd"/>
      <w:r w:rsidRPr="001D4280">
        <w:rPr>
          <w:rFonts w:ascii="Times New Roman" w:hAnsi="Times New Roman"/>
          <w:sz w:val="21"/>
          <w:szCs w:val="21"/>
        </w:rPr>
        <w:t xml:space="preserve">, Qualcomm Incorporated, GERAN #64, San Francisco, USA, </w:t>
      </w:r>
      <w:proofErr w:type="gramStart"/>
      <w:r w:rsidRPr="001D4280">
        <w:rPr>
          <w:rFonts w:ascii="Times New Roman" w:hAnsi="Times New Roman"/>
          <w:sz w:val="21"/>
          <w:szCs w:val="21"/>
        </w:rPr>
        <w:t>November</w:t>
      </w:r>
      <w:proofErr w:type="gramEnd"/>
      <w:r w:rsidRPr="001D4280">
        <w:rPr>
          <w:rFonts w:ascii="Times New Roman" w:hAnsi="Times New Roman"/>
          <w:sz w:val="21"/>
          <w:szCs w:val="21"/>
        </w:rPr>
        <w:t xml:space="preserve"> 2014</w:t>
      </w:r>
      <w:r w:rsidR="009D5764" w:rsidRPr="001D4280">
        <w:rPr>
          <w:rFonts w:ascii="Times New Roman" w:hAnsi="Times New Roman"/>
          <w:sz w:val="21"/>
          <w:szCs w:val="21"/>
        </w:rPr>
        <w:t>.</w:t>
      </w:r>
    </w:p>
    <w:p w:rsidR="00572D5B" w:rsidRPr="001D4280" w:rsidRDefault="00572D5B" w:rsidP="001D4280">
      <w:pPr>
        <w:widowControl/>
        <w:numPr>
          <w:ilvl w:val="0"/>
          <w:numId w:val="21"/>
        </w:numPr>
        <w:overflowPunct w:val="0"/>
        <w:autoSpaceDE w:val="0"/>
        <w:autoSpaceDN w:val="0"/>
        <w:adjustRightInd w:val="0"/>
        <w:textAlignment w:val="baseline"/>
        <w:rPr>
          <w:szCs w:val="21"/>
        </w:rPr>
      </w:pPr>
      <w:bookmarkStart w:id="8" w:name="_Ref413157213"/>
      <w:r w:rsidRPr="001D4280">
        <w:rPr>
          <w:szCs w:val="21"/>
        </w:rPr>
        <w:t xml:space="preserve">GPC150069, Narrow Band </w:t>
      </w:r>
      <w:r w:rsidRPr="001D4280">
        <w:rPr>
          <w:rStyle w:val="StyleLatinBodyCalibri11pt"/>
          <w:rFonts w:ascii="Times New Roman" w:hAnsi="Times New Roman" w:cs="Times New Roman"/>
          <w:sz w:val="21"/>
          <w:szCs w:val="21"/>
        </w:rPr>
        <w:t>OFDMA - Support of Large Cells, Qualcomm Inco</w:t>
      </w:r>
      <w:r w:rsidR="00C115B3" w:rsidRPr="001D4280">
        <w:rPr>
          <w:rStyle w:val="StyleLatinBodyCalibri11pt"/>
          <w:rFonts w:ascii="Times New Roman" w:hAnsi="Times New Roman" w:cs="Times New Roman"/>
          <w:sz w:val="21"/>
          <w:szCs w:val="21"/>
        </w:rPr>
        <w:t>rpor</w:t>
      </w:r>
      <w:r w:rsidRPr="001D4280">
        <w:rPr>
          <w:rStyle w:val="StyleLatinBodyCalibri11pt"/>
          <w:rFonts w:ascii="Times New Roman" w:hAnsi="Times New Roman" w:cs="Times New Roman"/>
          <w:sz w:val="21"/>
          <w:szCs w:val="21"/>
        </w:rPr>
        <w:t xml:space="preserve">ated, </w:t>
      </w:r>
      <w:r w:rsidRPr="001D4280">
        <w:rPr>
          <w:kern w:val="0"/>
          <w:szCs w:val="21"/>
        </w:rPr>
        <w:t xml:space="preserve">3GPP TSG GERAN1 Adhoc#1 &amp; GERAN2 Adhoc#1 on </w:t>
      </w:r>
      <w:proofErr w:type="spellStart"/>
      <w:r w:rsidRPr="001D4280">
        <w:rPr>
          <w:kern w:val="0"/>
          <w:szCs w:val="21"/>
        </w:rPr>
        <w:t>FS_IoT_LC</w:t>
      </w:r>
      <w:proofErr w:type="spellEnd"/>
      <w:r w:rsidRPr="001D4280">
        <w:rPr>
          <w:kern w:val="0"/>
          <w:szCs w:val="21"/>
        </w:rPr>
        <w:t>, Sophia-</w:t>
      </w:r>
      <w:proofErr w:type="spellStart"/>
      <w:r w:rsidRPr="001D4280">
        <w:rPr>
          <w:kern w:val="0"/>
          <w:szCs w:val="21"/>
        </w:rPr>
        <w:t>Antipolis</w:t>
      </w:r>
      <w:proofErr w:type="spellEnd"/>
      <w:r w:rsidRPr="001D4280">
        <w:rPr>
          <w:kern w:val="0"/>
          <w:szCs w:val="21"/>
        </w:rPr>
        <w:t>, France, Feb. 2015.</w:t>
      </w:r>
      <w:bookmarkEnd w:id="8"/>
    </w:p>
    <w:p w:rsidR="000905B4" w:rsidRPr="001D4280" w:rsidRDefault="009D5764" w:rsidP="001D4280">
      <w:pPr>
        <w:pStyle w:val="ListParagraph"/>
        <w:numPr>
          <w:ilvl w:val="0"/>
          <w:numId w:val="21"/>
        </w:numPr>
        <w:spacing w:after="120"/>
        <w:contextualSpacing w:val="0"/>
        <w:rPr>
          <w:rFonts w:ascii="Times New Roman" w:hAnsi="Times New Roman"/>
          <w:sz w:val="21"/>
          <w:szCs w:val="21"/>
        </w:rPr>
      </w:pPr>
      <w:bookmarkStart w:id="9" w:name="_Ref413157250"/>
      <w:r w:rsidRPr="001D4280">
        <w:rPr>
          <w:rFonts w:ascii="Times New Roman" w:hAnsi="Times New Roman"/>
          <w:sz w:val="21"/>
          <w:szCs w:val="21"/>
        </w:rPr>
        <w:t>GPC150127, Deployment Scenarios for CIoT, VODAFONE Group Plc., TELECOM ITALIA S.p.A, TELEFONICA S.A, 3GPP TSG GERAN1 Adhoc#1 &amp; GERAN2 Adhoc#1 on FS_IoT_LC</w:t>
      </w:r>
      <w:bookmarkEnd w:id="6"/>
      <w:bookmarkEnd w:id="7"/>
      <w:r w:rsidRPr="001D4280">
        <w:rPr>
          <w:rFonts w:ascii="Times New Roman" w:hAnsi="Times New Roman"/>
          <w:sz w:val="21"/>
          <w:szCs w:val="21"/>
        </w:rPr>
        <w:t>, Sophia-Antipolis, France</w:t>
      </w:r>
      <w:r w:rsidR="00CE6A86" w:rsidRPr="001D4280">
        <w:rPr>
          <w:rFonts w:ascii="Times New Roman" w:hAnsi="Times New Roman"/>
          <w:sz w:val="21"/>
          <w:szCs w:val="21"/>
        </w:rPr>
        <w:t>, Feb. 2015.</w:t>
      </w:r>
      <w:bookmarkEnd w:id="9"/>
    </w:p>
    <w:p w:rsidR="00233F20" w:rsidRPr="001D4280" w:rsidRDefault="00233F20" w:rsidP="001D4280">
      <w:pPr>
        <w:widowControl/>
        <w:numPr>
          <w:ilvl w:val="0"/>
          <w:numId w:val="21"/>
        </w:numPr>
        <w:overflowPunct w:val="0"/>
        <w:autoSpaceDE w:val="0"/>
        <w:autoSpaceDN w:val="0"/>
        <w:adjustRightInd w:val="0"/>
        <w:jc w:val="left"/>
        <w:textAlignment w:val="baseline"/>
        <w:rPr>
          <w:szCs w:val="21"/>
        </w:rPr>
      </w:pPr>
      <w:bookmarkStart w:id="10" w:name="_Ref410028732"/>
      <w:r w:rsidRPr="001D4280">
        <w:rPr>
          <w:kern w:val="0"/>
          <w:szCs w:val="21"/>
        </w:rPr>
        <w:t>3GPP TR 45.820, Cellular System Support for Ultra Low Complexity and Low Throughput Internet of Things, Release 13, version 0.4.0.</w:t>
      </w:r>
      <w:bookmarkEnd w:id="10"/>
    </w:p>
    <w:p w:rsidR="00233F20" w:rsidRPr="001D4280" w:rsidRDefault="00233F20" w:rsidP="001D4280">
      <w:pPr>
        <w:widowControl/>
        <w:numPr>
          <w:ilvl w:val="0"/>
          <w:numId w:val="21"/>
        </w:numPr>
        <w:overflowPunct w:val="0"/>
        <w:autoSpaceDE w:val="0"/>
        <w:autoSpaceDN w:val="0"/>
        <w:adjustRightInd w:val="0"/>
        <w:jc w:val="left"/>
        <w:textAlignment w:val="baseline"/>
        <w:rPr>
          <w:szCs w:val="21"/>
        </w:rPr>
      </w:pPr>
      <w:bookmarkStart w:id="11" w:name="_Ref412796599"/>
      <w:r w:rsidRPr="001D4280">
        <w:rPr>
          <w:kern w:val="0"/>
          <w:szCs w:val="21"/>
        </w:rPr>
        <w:t>GP-15</w:t>
      </w:r>
      <w:r w:rsidR="001D4280" w:rsidRPr="001D4280">
        <w:rPr>
          <w:kern w:val="0"/>
          <w:szCs w:val="21"/>
        </w:rPr>
        <w:t>0118</w:t>
      </w:r>
      <w:r w:rsidRPr="001D4280">
        <w:rPr>
          <w:kern w:val="0"/>
          <w:szCs w:val="21"/>
        </w:rPr>
        <w:t xml:space="preserve">, </w:t>
      </w:r>
      <w:r w:rsidR="0047401B" w:rsidRPr="001D4280">
        <w:rPr>
          <w:szCs w:val="21"/>
        </w:rPr>
        <w:t xml:space="preserve">Narrow band </w:t>
      </w:r>
      <w:r w:rsidR="0047401B" w:rsidRPr="001D4280">
        <w:rPr>
          <w:rStyle w:val="StyleLatinBodyCalibri11pt"/>
          <w:rFonts w:ascii="Times New Roman" w:hAnsi="Times New Roman" w:cs="Times New Roman"/>
          <w:sz w:val="21"/>
          <w:szCs w:val="21"/>
        </w:rPr>
        <w:t xml:space="preserve">OFDMA – Text proposal for TR, </w:t>
      </w:r>
      <w:r w:rsidR="006C16E0">
        <w:rPr>
          <w:rStyle w:val="StyleLatinBodyCalibri11pt"/>
          <w:rFonts w:ascii="Times New Roman" w:hAnsi="Times New Roman" w:cs="Times New Roman"/>
          <w:sz w:val="21"/>
          <w:szCs w:val="21"/>
        </w:rPr>
        <w:t xml:space="preserve">Qualcomm Incorporated, </w:t>
      </w:r>
      <w:r w:rsidR="0047401B" w:rsidRPr="001D4280">
        <w:rPr>
          <w:rStyle w:val="StyleLatinBodyCalibri11pt"/>
          <w:rFonts w:ascii="Times New Roman" w:hAnsi="Times New Roman" w:cs="Times New Roman"/>
          <w:sz w:val="21"/>
          <w:szCs w:val="21"/>
        </w:rPr>
        <w:t>GERAN #65, Shanghai, China, March 2015</w:t>
      </w:r>
      <w:bookmarkStart w:id="12" w:name="_GoBack"/>
      <w:bookmarkEnd w:id="11"/>
      <w:bookmarkEnd w:id="12"/>
    </w:p>
    <w:p w:rsidR="001D2114" w:rsidRPr="00241096" w:rsidRDefault="001D2114" w:rsidP="001D2114"/>
    <w:sectPr w:rsidR="001D2114" w:rsidRPr="00241096">
      <w:headerReference w:type="default" r:id="rId36"/>
      <w:footerReference w:type="default" r:id="rId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2FD6" w:rsidRDefault="00D92FD6" w:rsidP="006B6EC0">
      <w:r>
        <w:separator/>
      </w:r>
    </w:p>
  </w:endnote>
  <w:endnote w:type="continuationSeparator" w:id="0">
    <w:p w:rsidR="00D92FD6" w:rsidRDefault="00D92FD6" w:rsidP="006B6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C28" w:rsidRDefault="00C91C28" w:rsidP="006B6EC0">
    <w:pPr>
      <w:pStyle w:val="Footer"/>
    </w:pPr>
    <w:r>
      <w:t xml:space="preserve">Page </w:t>
    </w:r>
    <w:r>
      <w:rPr>
        <w:rStyle w:val="PageNumber"/>
      </w:rPr>
      <w:fldChar w:fldCharType="begin"/>
    </w:r>
    <w:r>
      <w:rPr>
        <w:rStyle w:val="PageNumber"/>
      </w:rPr>
      <w:instrText xml:space="preserve"> PAGE </w:instrText>
    </w:r>
    <w:r>
      <w:rPr>
        <w:rStyle w:val="PageNumber"/>
      </w:rPr>
      <w:fldChar w:fldCharType="separate"/>
    </w:r>
    <w:r w:rsidR="006C16E0">
      <w:rPr>
        <w:rStyle w:val="PageNumber"/>
        <w:noProof/>
      </w:rPr>
      <w:t>7</w:t>
    </w:r>
    <w:r>
      <w:rPr>
        <w:rStyle w:val="PageNumber"/>
      </w:rPr>
      <w:fldChar w:fldCharType="end"/>
    </w:r>
    <w:r>
      <w:rPr>
        <w:rStyle w:val="PageNumber"/>
      </w:rPr>
      <w:t xml:space="preserve"> </w:t>
    </w:r>
    <w:r>
      <w:t xml:space="preserve">of </w:t>
    </w:r>
    <w:r>
      <w:rPr>
        <w:rStyle w:val="PageNumber"/>
      </w:rPr>
      <w:fldChar w:fldCharType="begin"/>
    </w:r>
    <w:r>
      <w:rPr>
        <w:rStyle w:val="PageNumber"/>
      </w:rPr>
      <w:instrText xml:space="preserve"> NUMPAGES </w:instrText>
    </w:r>
    <w:r>
      <w:rPr>
        <w:rStyle w:val="PageNumber"/>
      </w:rPr>
      <w:fldChar w:fldCharType="separate"/>
    </w:r>
    <w:r w:rsidR="006C16E0">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2FD6" w:rsidRDefault="00D92FD6" w:rsidP="006B6EC0">
      <w:r>
        <w:separator/>
      </w:r>
    </w:p>
  </w:footnote>
  <w:footnote w:type="continuationSeparator" w:id="0">
    <w:p w:rsidR="00D92FD6" w:rsidRDefault="00D92FD6" w:rsidP="006B6E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35B7" w:rsidRPr="00600713" w:rsidRDefault="00A725B1" w:rsidP="00031C34">
    <w:pPr>
      <w:pStyle w:val="WP"/>
      <w:tabs>
        <w:tab w:val="right" w:pos="8222"/>
      </w:tabs>
      <w:spacing w:after="0"/>
      <w:rPr>
        <w:rFonts w:ascii="Times New Roman" w:hAnsi="Times New Roman" w:cs="Times New Roman"/>
      </w:rPr>
    </w:pPr>
    <w:r w:rsidRPr="00600713">
      <w:rPr>
        <w:rFonts w:ascii="Times New Roman" w:hAnsi="Times New Roman" w:cs="Times New Roman"/>
      </w:rPr>
      <w:t>3</w:t>
    </w:r>
    <w:r w:rsidR="00BE00A8" w:rsidRPr="00600713">
      <w:rPr>
        <w:rFonts w:ascii="Times New Roman" w:hAnsi="Times New Roman" w:cs="Times New Roman"/>
      </w:rPr>
      <w:t>GPP TSG GERAN #65</w:t>
    </w:r>
    <w:r w:rsidR="0005379D" w:rsidRPr="00600713">
      <w:rPr>
        <w:rFonts w:ascii="Times New Roman" w:hAnsi="Times New Roman" w:cs="Times New Roman"/>
      </w:rPr>
      <w:tab/>
    </w:r>
    <w:proofErr w:type="spellStart"/>
    <w:r w:rsidR="0005379D" w:rsidRPr="00A73BD7">
      <w:rPr>
        <w:rFonts w:ascii="Times New Roman" w:hAnsi="Times New Roman" w:cs="Times New Roman"/>
      </w:rPr>
      <w:t>Tdoc</w:t>
    </w:r>
    <w:proofErr w:type="spellEnd"/>
    <w:r w:rsidR="0005379D" w:rsidRPr="00A73BD7">
      <w:rPr>
        <w:rFonts w:ascii="Times New Roman" w:hAnsi="Times New Roman" w:cs="Times New Roman"/>
      </w:rPr>
      <w:t xml:space="preserve"> GP-</w:t>
    </w:r>
    <w:r w:rsidR="00915F48" w:rsidRPr="00A73BD7">
      <w:rPr>
        <w:rFonts w:ascii="Times New Roman" w:hAnsi="Times New Roman" w:cs="Times New Roman"/>
      </w:rPr>
      <w:t>15</w:t>
    </w:r>
    <w:r w:rsidR="00A73BD7" w:rsidRPr="00A73BD7">
      <w:rPr>
        <w:rFonts w:ascii="Times New Roman" w:hAnsi="Times New Roman" w:cs="Times New Roman"/>
      </w:rPr>
      <w:t>0112</w:t>
    </w:r>
  </w:p>
  <w:p w:rsidR="00E235B7" w:rsidRPr="00600713" w:rsidRDefault="00BE00A8" w:rsidP="0098184D">
    <w:pPr>
      <w:pStyle w:val="WP"/>
      <w:spacing w:after="0"/>
      <w:rPr>
        <w:rFonts w:ascii="Times New Roman" w:eastAsia="SimSun" w:hAnsi="Times New Roman" w:cs="Times New Roman"/>
      </w:rPr>
    </w:pPr>
    <w:r w:rsidRPr="00600713">
      <w:rPr>
        <w:rFonts w:ascii="Times New Roman" w:eastAsia="SimSun" w:hAnsi="Times New Roman" w:cs="Times New Roman"/>
      </w:rPr>
      <w:t>Shanghai, China</w:t>
    </w:r>
  </w:p>
  <w:p w:rsidR="00032304" w:rsidRPr="00600713" w:rsidRDefault="00BE00A8" w:rsidP="0098184D">
    <w:pPr>
      <w:pStyle w:val="WP"/>
      <w:spacing w:after="0"/>
      <w:rPr>
        <w:rFonts w:ascii="Times New Roman" w:eastAsia="SimSun" w:hAnsi="Times New Roman" w:cs="Times New Roman"/>
      </w:rPr>
    </w:pPr>
    <w:r w:rsidRPr="00600713">
      <w:rPr>
        <w:rFonts w:ascii="Times New Roman" w:eastAsia="SimSun" w:hAnsi="Times New Roman" w:cs="Times New Roman"/>
      </w:rPr>
      <w:t>9 – 13</w:t>
    </w:r>
    <w:r w:rsidR="0005379D" w:rsidRPr="00600713">
      <w:rPr>
        <w:rFonts w:ascii="Times New Roman" w:eastAsia="SimSun" w:hAnsi="Times New Roman" w:cs="Times New Roman"/>
      </w:rPr>
      <w:t xml:space="preserve"> </w:t>
    </w:r>
    <w:r w:rsidRPr="00600713">
      <w:rPr>
        <w:rFonts w:ascii="Times New Roman" w:eastAsia="SimSun" w:hAnsi="Times New Roman" w:cs="Times New Roman"/>
      </w:rPr>
      <w:t>March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12FBA"/>
    <w:multiLevelType w:val="hybridMultilevel"/>
    <w:tmpl w:val="6AA25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D900DBD"/>
    <w:multiLevelType w:val="hybridMultilevel"/>
    <w:tmpl w:val="A268D95C"/>
    <w:lvl w:ilvl="0" w:tplc="56AC85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00A0D6E"/>
    <w:multiLevelType w:val="hybridMultilevel"/>
    <w:tmpl w:val="E70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8207CB"/>
    <w:multiLevelType w:val="hybridMultilevel"/>
    <w:tmpl w:val="D79E7B92"/>
    <w:lvl w:ilvl="0" w:tplc="C1E403B6">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5687387"/>
    <w:multiLevelType w:val="multilevel"/>
    <w:tmpl w:val="7A601F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C2615F5"/>
    <w:multiLevelType w:val="hybridMultilevel"/>
    <w:tmpl w:val="1026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E94545F"/>
    <w:multiLevelType w:val="hybridMultilevel"/>
    <w:tmpl w:val="6C5C6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284959"/>
    <w:multiLevelType w:val="hybridMultilevel"/>
    <w:tmpl w:val="5AC841AA"/>
    <w:lvl w:ilvl="0" w:tplc="1FBCC2FA">
      <w:start w:val="1"/>
      <w:numFmt w:val="decimal"/>
      <w:lvlText w:val="[%1]"/>
      <w:lvlJc w:val="left"/>
      <w:pPr>
        <w:tabs>
          <w:tab w:val="num" w:pos="1140"/>
        </w:tabs>
        <w:ind w:left="114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2BDD0067"/>
    <w:multiLevelType w:val="hybridMultilevel"/>
    <w:tmpl w:val="2CA41F7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2D4E4476"/>
    <w:multiLevelType w:val="hybridMultilevel"/>
    <w:tmpl w:val="4B929C5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443BA8"/>
    <w:multiLevelType w:val="hybridMultilevel"/>
    <w:tmpl w:val="D2489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19A2ECA"/>
    <w:multiLevelType w:val="hybridMultilevel"/>
    <w:tmpl w:val="5B5A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B842F6"/>
    <w:multiLevelType w:val="hybridMultilevel"/>
    <w:tmpl w:val="57F6E1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37A91942"/>
    <w:multiLevelType w:val="hybridMultilevel"/>
    <w:tmpl w:val="6DFC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84E3AF6"/>
    <w:multiLevelType w:val="hybridMultilevel"/>
    <w:tmpl w:val="3EF46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CB070D0"/>
    <w:multiLevelType w:val="multilevel"/>
    <w:tmpl w:val="97FE669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43DC0365"/>
    <w:multiLevelType w:val="hybridMultilevel"/>
    <w:tmpl w:val="4112C5EA"/>
    <w:lvl w:ilvl="0" w:tplc="C882B34A">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6696FF4"/>
    <w:multiLevelType w:val="hybridMultilevel"/>
    <w:tmpl w:val="FF305D74"/>
    <w:lvl w:ilvl="0" w:tplc="B27605B4">
      <w:start w:val="2"/>
      <w:numFmt w:val="decimal"/>
      <w:lvlText w:val="%1."/>
      <w:lvlJc w:val="left"/>
      <w:pPr>
        <w:tabs>
          <w:tab w:val="num" w:pos="420"/>
        </w:tabs>
        <w:ind w:left="420" w:hanging="420"/>
      </w:pPr>
      <w:rPr>
        <w:rFonts w:hint="default"/>
      </w:rPr>
    </w:lvl>
    <w:lvl w:ilvl="1" w:tplc="399C7422">
      <w:start w:val="2"/>
      <w:numFmt w:val="decimal"/>
      <w:isLgl/>
      <w:lvlText w:val="%2.%2"/>
      <w:lvlJc w:val="left"/>
      <w:pPr>
        <w:tabs>
          <w:tab w:val="num" w:pos="390"/>
        </w:tabs>
        <w:ind w:left="390" w:hanging="390"/>
      </w:pPr>
      <w:rPr>
        <w:rFonts w:hint="default"/>
      </w:rPr>
    </w:lvl>
    <w:lvl w:ilvl="2" w:tplc="BB926182">
      <w:numFmt w:val="none"/>
      <w:lvlText w:val=""/>
      <w:lvlJc w:val="left"/>
      <w:pPr>
        <w:tabs>
          <w:tab w:val="num" w:pos="360"/>
        </w:tabs>
      </w:pPr>
    </w:lvl>
    <w:lvl w:ilvl="3" w:tplc="554CDD00">
      <w:numFmt w:val="none"/>
      <w:lvlText w:val=""/>
      <w:lvlJc w:val="left"/>
      <w:pPr>
        <w:tabs>
          <w:tab w:val="num" w:pos="360"/>
        </w:tabs>
      </w:pPr>
    </w:lvl>
    <w:lvl w:ilvl="4" w:tplc="C4CA263E">
      <w:numFmt w:val="none"/>
      <w:lvlText w:val=""/>
      <w:lvlJc w:val="left"/>
      <w:pPr>
        <w:tabs>
          <w:tab w:val="num" w:pos="360"/>
        </w:tabs>
      </w:pPr>
    </w:lvl>
    <w:lvl w:ilvl="5" w:tplc="969685FC">
      <w:numFmt w:val="none"/>
      <w:lvlText w:val=""/>
      <w:lvlJc w:val="left"/>
      <w:pPr>
        <w:tabs>
          <w:tab w:val="num" w:pos="360"/>
        </w:tabs>
      </w:pPr>
    </w:lvl>
    <w:lvl w:ilvl="6" w:tplc="A14204DA">
      <w:numFmt w:val="none"/>
      <w:lvlText w:val=""/>
      <w:lvlJc w:val="left"/>
      <w:pPr>
        <w:tabs>
          <w:tab w:val="num" w:pos="360"/>
        </w:tabs>
      </w:pPr>
    </w:lvl>
    <w:lvl w:ilvl="7" w:tplc="5F9A13B0">
      <w:numFmt w:val="none"/>
      <w:lvlText w:val=""/>
      <w:lvlJc w:val="left"/>
      <w:pPr>
        <w:tabs>
          <w:tab w:val="num" w:pos="360"/>
        </w:tabs>
      </w:pPr>
    </w:lvl>
    <w:lvl w:ilvl="8" w:tplc="A81019B0">
      <w:numFmt w:val="none"/>
      <w:lvlText w:val=""/>
      <w:lvlJc w:val="left"/>
      <w:pPr>
        <w:tabs>
          <w:tab w:val="num" w:pos="360"/>
        </w:tabs>
      </w:pPr>
    </w:lvl>
  </w:abstractNum>
  <w:abstractNum w:abstractNumId="19">
    <w:nsid w:val="4A573BC0"/>
    <w:multiLevelType w:val="hybridMultilevel"/>
    <w:tmpl w:val="AABC962C"/>
    <w:lvl w:ilvl="0" w:tplc="8E9A534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E60FB3"/>
    <w:multiLevelType w:val="hybridMultilevel"/>
    <w:tmpl w:val="FF5407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53DD14DC"/>
    <w:multiLevelType w:val="hybridMultilevel"/>
    <w:tmpl w:val="19A07536"/>
    <w:lvl w:ilvl="0" w:tplc="08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500"/>
        </w:tabs>
        <w:ind w:left="1500" w:hanging="42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5F2309E6"/>
    <w:multiLevelType w:val="hybridMultilevel"/>
    <w:tmpl w:val="955ED006"/>
    <w:lvl w:ilvl="0" w:tplc="6F0A43DA">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0126E41"/>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
    <w:nsid w:val="61217134"/>
    <w:multiLevelType w:val="hybridMultilevel"/>
    <w:tmpl w:val="B8E855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B44B6"/>
    <w:multiLevelType w:val="hybridMultilevel"/>
    <w:tmpl w:val="7A601F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640D15F8"/>
    <w:multiLevelType w:val="hybridMultilevel"/>
    <w:tmpl w:val="A0985482"/>
    <w:lvl w:ilvl="0" w:tplc="981ABEA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2DD4EE7"/>
    <w:multiLevelType w:val="multilevel"/>
    <w:tmpl w:val="A4F494BA"/>
    <w:lvl w:ilvl="0">
      <w:start w:val="1"/>
      <w:numFmt w:val="decimal"/>
      <w:lvlText w:val="%1."/>
      <w:lvlJc w:val="left"/>
      <w:pPr>
        <w:ind w:left="360" w:hanging="36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nsid w:val="759A6BB6"/>
    <w:multiLevelType w:val="hybridMultilevel"/>
    <w:tmpl w:val="C1EACE66"/>
    <w:lvl w:ilvl="0" w:tplc="14CE74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A8B7621"/>
    <w:multiLevelType w:val="hybridMultilevel"/>
    <w:tmpl w:val="B2608EEC"/>
    <w:lvl w:ilvl="0" w:tplc="6D0CD8D4">
      <w:start w:val="1"/>
      <w:numFmt w:val="decimal"/>
      <w:pStyle w:val="Heading1"/>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8"/>
  </w:num>
  <w:num w:numId="2">
    <w:abstractNumId w:val="4"/>
  </w:num>
  <w:num w:numId="3">
    <w:abstractNumId w:val="22"/>
  </w:num>
  <w:num w:numId="4">
    <w:abstractNumId w:val="21"/>
  </w:num>
  <w:num w:numId="5">
    <w:abstractNumId w:val="17"/>
  </w:num>
  <w:num w:numId="6">
    <w:abstractNumId w:val="28"/>
  </w:num>
  <w:num w:numId="7">
    <w:abstractNumId w:val="26"/>
  </w:num>
  <w:num w:numId="8">
    <w:abstractNumId w:val="9"/>
  </w:num>
  <w:num w:numId="9">
    <w:abstractNumId w:val="27"/>
  </w:num>
  <w:num w:numId="10">
    <w:abstractNumId w:val="25"/>
  </w:num>
  <w:num w:numId="11">
    <w:abstractNumId w:val="5"/>
  </w:num>
  <w:num w:numId="12">
    <w:abstractNumId w:val="16"/>
  </w:num>
  <w:num w:numId="13">
    <w:abstractNumId w:val="10"/>
  </w:num>
  <w:num w:numId="14">
    <w:abstractNumId w:val="23"/>
  </w:num>
  <w:num w:numId="15">
    <w:abstractNumId w:val="8"/>
  </w:num>
  <w:num w:numId="16">
    <w:abstractNumId w:val="13"/>
  </w:num>
  <w:num w:numId="17">
    <w:abstractNumId w:val="15"/>
  </w:num>
  <w:num w:numId="18">
    <w:abstractNumId w:val="11"/>
  </w:num>
  <w:num w:numId="19">
    <w:abstractNumId w:val="2"/>
  </w:num>
  <w:num w:numId="20">
    <w:abstractNumId w:val="20"/>
  </w:num>
  <w:num w:numId="21">
    <w:abstractNumId w:val="3"/>
  </w:num>
  <w:num w:numId="22">
    <w:abstractNumId w:val="19"/>
  </w:num>
  <w:num w:numId="23">
    <w:abstractNumId w:val="7"/>
  </w:num>
  <w:num w:numId="24">
    <w:abstractNumId w:val="14"/>
  </w:num>
  <w:num w:numId="25">
    <w:abstractNumId w:val="1"/>
  </w:num>
  <w:num w:numId="26">
    <w:abstractNumId w:val="24"/>
  </w:num>
  <w:num w:numId="27">
    <w:abstractNumId w:val="12"/>
  </w:num>
  <w:num w:numId="28">
    <w:abstractNumId w:val="6"/>
  </w:num>
  <w:num w:numId="29">
    <w:abstractNumId w:val="0"/>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885"/>
    <w:rsid w:val="00001ED3"/>
    <w:rsid w:val="00004A78"/>
    <w:rsid w:val="00005F9D"/>
    <w:rsid w:val="00011F38"/>
    <w:rsid w:val="00014DD5"/>
    <w:rsid w:val="00016CED"/>
    <w:rsid w:val="00025855"/>
    <w:rsid w:val="000258AE"/>
    <w:rsid w:val="0002737E"/>
    <w:rsid w:val="00030094"/>
    <w:rsid w:val="00030FF3"/>
    <w:rsid w:val="00031C34"/>
    <w:rsid w:val="00032304"/>
    <w:rsid w:val="00032AAE"/>
    <w:rsid w:val="00034071"/>
    <w:rsid w:val="00052E93"/>
    <w:rsid w:val="0005379D"/>
    <w:rsid w:val="0005577B"/>
    <w:rsid w:val="000558F4"/>
    <w:rsid w:val="00055EEE"/>
    <w:rsid w:val="00055FC2"/>
    <w:rsid w:val="00056B3E"/>
    <w:rsid w:val="000637AB"/>
    <w:rsid w:val="00087AD7"/>
    <w:rsid w:val="000905B4"/>
    <w:rsid w:val="00091B05"/>
    <w:rsid w:val="00094B73"/>
    <w:rsid w:val="000B1C36"/>
    <w:rsid w:val="000B47F6"/>
    <w:rsid w:val="000C1E67"/>
    <w:rsid w:val="000C28D7"/>
    <w:rsid w:val="000C487B"/>
    <w:rsid w:val="000D1B99"/>
    <w:rsid w:val="000E43E2"/>
    <w:rsid w:val="001076F5"/>
    <w:rsid w:val="00107AB3"/>
    <w:rsid w:val="00112D71"/>
    <w:rsid w:val="00114E8A"/>
    <w:rsid w:val="00115487"/>
    <w:rsid w:val="00140B01"/>
    <w:rsid w:val="001415F2"/>
    <w:rsid w:val="00152E35"/>
    <w:rsid w:val="00163837"/>
    <w:rsid w:val="00165731"/>
    <w:rsid w:val="001664D5"/>
    <w:rsid w:val="00174AB2"/>
    <w:rsid w:val="0018068E"/>
    <w:rsid w:val="00180758"/>
    <w:rsid w:val="001B147F"/>
    <w:rsid w:val="001B1AEF"/>
    <w:rsid w:val="001C4703"/>
    <w:rsid w:val="001C4B7C"/>
    <w:rsid w:val="001C6AE2"/>
    <w:rsid w:val="001C6AEF"/>
    <w:rsid w:val="001D2114"/>
    <w:rsid w:val="001D4280"/>
    <w:rsid w:val="001E0760"/>
    <w:rsid w:val="001E2323"/>
    <w:rsid w:val="001E5B73"/>
    <w:rsid w:val="001F4D30"/>
    <w:rsid w:val="0020680F"/>
    <w:rsid w:val="0022206D"/>
    <w:rsid w:val="0022639D"/>
    <w:rsid w:val="00233F20"/>
    <w:rsid w:val="0023406E"/>
    <w:rsid w:val="002405F8"/>
    <w:rsid w:val="00241096"/>
    <w:rsid w:val="00244FCA"/>
    <w:rsid w:val="00247758"/>
    <w:rsid w:val="00256393"/>
    <w:rsid w:val="0027261C"/>
    <w:rsid w:val="00274C04"/>
    <w:rsid w:val="002822A7"/>
    <w:rsid w:val="002966F4"/>
    <w:rsid w:val="002A36EC"/>
    <w:rsid w:val="002B2053"/>
    <w:rsid w:val="002C2A1C"/>
    <w:rsid w:val="002C43AE"/>
    <w:rsid w:val="002C59DB"/>
    <w:rsid w:val="002D0879"/>
    <w:rsid w:val="002F3029"/>
    <w:rsid w:val="002F60BE"/>
    <w:rsid w:val="0030770F"/>
    <w:rsid w:val="003120E7"/>
    <w:rsid w:val="00342DC1"/>
    <w:rsid w:val="003606DF"/>
    <w:rsid w:val="00364700"/>
    <w:rsid w:val="00370853"/>
    <w:rsid w:val="003959E0"/>
    <w:rsid w:val="003D1893"/>
    <w:rsid w:val="003D54C0"/>
    <w:rsid w:val="003D554A"/>
    <w:rsid w:val="003D6C29"/>
    <w:rsid w:val="003F14DA"/>
    <w:rsid w:val="003F2BF9"/>
    <w:rsid w:val="003F7CF3"/>
    <w:rsid w:val="004045D8"/>
    <w:rsid w:val="00406B1F"/>
    <w:rsid w:val="004206B2"/>
    <w:rsid w:val="0042320C"/>
    <w:rsid w:val="0042665C"/>
    <w:rsid w:val="004318A1"/>
    <w:rsid w:val="00431EDE"/>
    <w:rsid w:val="0043244E"/>
    <w:rsid w:val="004345C9"/>
    <w:rsid w:val="00441F75"/>
    <w:rsid w:val="004421D6"/>
    <w:rsid w:val="004430F5"/>
    <w:rsid w:val="0044681B"/>
    <w:rsid w:val="0045633A"/>
    <w:rsid w:val="00457473"/>
    <w:rsid w:val="00457C71"/>
    <w:rsid w:val="00462E1F"/>
    <w:rsid w:val="0047401B"/>
    <w:rsid w:val="00476BAE"/>
    <w:rsid w:val="00476C0D"/>
    <w:rsid w:val="00485E5C"/>
    <w:rsid w:val="0049006C"/>
    <w:rsid w:val="00495289"/>
    <w:rsid w:val="0049685A"/>
    <w:rsid w:val="00497B0B"/>
    <w:rsid w:val="004A3B41"/>
    <w:rsid w:val="004A562D"/>
    <w:rsid w:val="004B6816"/>
    <w:rsid w:val="004D3EE6"/>
    <w:rsid w:val="004E02C2"/>
    <w:rsid w:val="004E236A"/>
    <w:rsid w:val="004E74BE"/>
    <w:rsid w:val="005130FF"/>
    <w:rsid w:val="0051427C"/>
    <w:rsid w:val="00514892"/>
    <w:rsid w:val="005150A7"/>
    <w:rsid w:val="00517297"/>
    <w:rsid w:val="00520647"/>
    <w:rsid w:val="005213F6"/>
    <w:rsid w:val="00527BAD"/>
    <w:rsid w:val="00540FED"/>
    <w:rsid w:val="00541364"/>
    <w:rsid w:val="00543011"/>
    <w:rsid w:val="005466D6"/>
    <w:rsid w:val="00547F2C"/>
    <w:rsid w:val="0055488C"/>
    <w:rsid w:val="005552EF"/>
    <w:rsid w:val="005576EB"/>
    <w:rsid w:val="00562FE1"/>
    <w:rsid w:val="005670A9"/>
    <w:rsid w:val="0056793D"/>
    <w:rsid w:val="00572D5B"/>
    <w:rsid w:val="005772BC"/>
    <w:rsid w:val="005928C9"/>
    <w:rsid w:val="00593F17"/>
    <w:rsid w:val="005A7946"/>
    <w:rsid w:val="005B15D3"/>
    <w:rsid w:val="005B448A"/>
    <w:rsid w:val="005C2932"/>
    <w:rsid w:val="005E3476"/>
    <w:rsid w:val="005F6C25"/>
    <w:rsid w:val="005F7DB9"/>
    <w:rsid w:val="00600713"/>
    <w:rsid w:val="00611374"/>
    <w:rsid w:val="006207CF"/>
    <w:rsid w:val="006251D2"/>
    <w:rsid w:val="00633393"/>
    <w:rsid w:val="00641885"/>
    <w:rsid w:val="0065402A"/>
    <w:rsid w:val="00661C65"/>
    <w:rsid w:val="00672E74"/>
    <w:rsid w:val="00686643"/>
    <w:rsid w:val="00687598"/>
    <w:rsid w:val="00687BD2"/>
    <w:rsid w:val="00695594"/>
    <w:rsid w:val="006A4E0E"/>
    <w:rsid w:val="006B6EC0"/>
    <w:rsid w:val="006B76FD"/>
    <w:rsid w:val="006C16E0"/>
    <w:rsid w:val="006C1D2E"/>
    <w:rsid w:val="006C7BB6"/>
    <w:rsid w:val="006D41B7"/>
    <w:rsid w:val="006E2036"/>
    <w:rsid w:val="006E454E"/>
    <w:rsid w:val="006F4573"/>
    <w:rsid w:val="00700AED"/>
    <w:rsid w:val="0071498D"/>
    <w:rsid w:val="00722596"/>
    <w:rsid w:val="00730351"/>
    <w:rsid w:val="00730EAC"/>
    <w:rsid w:val="0075369C"/>
    <w:rsid w:val="00763281"/>
    <w:rsid w:val="00774001"/>
    <w:rsid w:val="00791273"/>
    <w:rsid w:val="007923A5"/>
    <w:rsid w:val="00794EC8"/>
    <w:rsid w:val="0079609C"/>
    <w:rsid w:val="007A3365"/>
    <w:rsid w:val="007B5A2D"/>
    <w:rsid w:val="007C5334"/>
    <w:rsid w:val="007C748E"/>
    <w:rsid w:val="007D6325"/>
    <w:rsid w:val="007E3266"/>
    <w:rsid w:val="007E6DA5"/>
    <w:rsid w:val="007F13E6"/>
    <w:rsid w:val="007F1AC2"/>
    <w:rsid w:val="007F76F3"/>
    <w:rsid w:val="00807545"/>
    <w:rsid w:val="0081504C"/>
    <w:rsid w:val="00823F1F"/>
    <w:rsid w:val="00825C53"/>
    <w:rsid w:val="00831B8D"/>
    <w:rsid w:val="008327F9"/>
    <w:rsid w:val="0084696D"/>
    <w:rsid w:val="00884892"/>
    <w:rsid w:val="008922AE"/>
    <w:rsid w:val="00897294"/>
    <w:rsid w:val="008A7DD0"/>
    <w:rsid w:val="008B1596"/>
    <w:rsid w:val="008B4095"/>
    <w:rsid w:val="008C1F6D"/>
    <w:rsid w:val="008D10B3"/>
    <w:rsid w:val="008D5741"/>
    <w:rsid w:val="008E0396"/>
    <w:rsid w:val="008E3BC8"/>
    <w:rsid w:val="008F2CB9"/>
    <w:rsid w:val="009077F4"/>
    <w:rsid w:val="009077F9"/>
    <w:rsid w:val="009155D2"/>
    <w:rsid w:val="00915F48"/>
    <w:rsid w:val="00917556"/>
    <w:rsid w:val="00934C30"/>
    <w:rsid w:val="009702A1"/>
    <w:rsid w:val="00977DD3"/>
    <w:rsid w:val="00977FD1"/>
    <w:rsid w:val="0098008C"/>
    <w:rsid w:val="0098184D"/>
    <w:rsid w:val="0098379F"/>
    <w:rsid w:val="009902C4"/>
    <w:rsid w:val="00992CB6"/>
    <w:rsid w:val="009A2998"/>
    <w:rsid w:val="009A77EE"/>
    <w:rsid w:val="009B2B45"/>
    <w:rsid w:val="009B73C4"/>
    <w:rsid w:val="009C4D8B"/>
    <w:rsid w:val="009C4E1F"/>
    <w:rsid w:val="009D1B6D"/>
    <w:rsid w:val="009D5764"/>
    <w:rsid w:val="00A107B7"/>
    <w:rsid w:val="00A15CCF"/>
    <w:rsid w:val="00A2248A"/>
    <w:rsid w:val="00A26D3A"/>
    <w:rsid w:val="00A335FF"/>
    <w:rsid w:val="00A35020"/>
    <w:rsid w:val="00A403EC"/>
    <w:rsid w:val="00A45888"/>
    <w:rsid w:val="00A54564"/>
    <w:rsid w:val="00A6007C"/>
    <w:rsid w:val="00A62E5B"/>
    <w:rsid w:val="00A725B1"/>
    <w:rsid w:val="00A72DCA"/>
    <w:rsid w:val="00A73BD7"/>
    <w:rsid w:val="00A84E50"/>
    <w:rsid w:val="00A86EBF"/>
    <w:rsid w:val="00A903D3"/>
    <w:rsid w:val="00A9438A"/>
    <w:rsid w:val="00AB392A"/>
    <w:rsid w:val="00AB3DB1"/>
    <w:rsid w:val="00AB6C83"/>
    <w:rsid w:val="00AB7C9F"/>
    <w:rsid w:val="00AC289E"/>
    <w:rsid w:val="00AC3C2B"/>
    <w:rsid w:val="00AC6483"/>
    <w:rsid w:val="00AD3294"/>
    <w:rsid w:val="00AE2F57"/>
    <w:rsid w:val="00AE4B4A"/>
    <w:rsid w:val="00AE5318"/>
    <w:rsid w:val="00AE6E21"/>
    <w:rsid w:val="00AF6848"/>
    <w:rsid w:val="00B0231B"/>
    <w:rsid w:val="00B0796B"/>
    <w:rsid w:val="00B12F08"/>
    <w:rsid w:val="00B23168"/>
    <w:rsid w:val="00B2439D"/>
    <w:rsid w:val="00B36D93"/>
    <w:rsid w:val="00B420F4"/>
    <w:rsid w:val="00B453BB"/>
    <w:rsid w:val="00B46407"/>
    <w:rsid w:val="00B5260F"/>
    <w:rsid w:val="00B638B0"/>
    <w:rsid w:val="00B64F57"/>
    <w:rsid w:val="00B94E42"/>
    <w:rsid w:val="00BA1FD2"/>
    <w:rsid w:val="00BA1FD7"/>
    <w:rsid w:val="00BA420A"/>
    <w:rsid w:val="00BA4AED"/>
    <w:rsid w:val="00BA7010"/>
    <w:rsid w:val="00BB1F6A"/>
    <w:rsid w:val="00BB353F"/>
    <w:rsid w:val="00BC449B"/>
    <w:rsid w:val="00BC4923"/>
    <w:rsid w:val="00BD2D88"/>
    <w:rsid w:val="00BD616D"/>
    <w:rsid w:val="00BD7CB0"/>
    <w:rsid w:val="00BE00A8"/>
    <w:rsid w:val="00BE0495"/>
    <w:rsid w:val="00BE170B"/>
    <w:rsid w:val="00BF3758"/>
    <w:rsid w:val="00C043B0"/>
    <w:rsid w:val="00C115B3"/>
    <w:rsid w:val="00C13D3A"/>
    <w:rsid w:val="00C162F3"/>
    <w:rsid w:val="00C2314B"/>
    <w:rsid w:val="00C251ED"/>
    <w:rsid w:val="00C3393F"/>
    <w:rsid w:val="00C33D02"/>
    <w:rsid w:val="00C33E23"/>
    <w:rsid w:val="00C4151E"/>
    <w:rsid w:val="00C4782C"/>
    <w:rsid w:val="00C6318B"/>
    <w:rsid w:val="00C63F05"/>
    <w:rsid w:val="00C70AF5"/>
    <w:rsid w:val="00C74BB8"/>
    <w:rsid w:val="00C82CB0"/>
    <w:rsid w:val="00C91C28"/>
    <w:rsid w:val="00C93910"/>
    <w:rsid w:val="00CA015A"/>
    <w:rsid w:val="00CA3319"/>
    <w:rsid w:val="00CB41A9"/>
    <w:rsid w:val="00CB73BA"/>
    <w:rsid w:val="00CC543F"/>
    <w:rsid w:val="00CE05CB"/>
    <w:rsid w:val="00CE3820"/>
    <w:rsid w:val="00CE6A86"/>
    <w:rsid w:val="00CF2035"/>
    <w:rsid w:val="00D00033"/>
    <w:rsid w:val="00D0325B"/>
    <w:rsid w:val="00D140A9"/>
    <w:rsid w:val="00D2146F"/>
    <w:rsid w:val="00D2746C"/>
    <w:rsid w:val="00D31EFB"/>
    <w:rsid w:val="00D46A9E"/>
    <w:rsid w:val="00D50503"/>
    <w:rsid w:val="00D52DEC"/>
    <w:rsid w:val="00D63D23"/>
    <w:rsid w:val="00D72A03"/>
    <w:rsid w:val="00D7392C"/>
    <w:rsid w:val="00D76E38"/>
    <w:rsid w:val="00D84B70"/>
    <w:rsid w:val="00D92FD6"/>
    <w:rsid w:val="00D930F9"/>
    <w:rsid w:val="00DA5E1D"/>
    <w:rsid w:val="00DA7D88"/>
    <w:rsid w:val="00DB0228"/>
    <w:rsid w:val="00DB14BF"/>
    <w:rsid w:val="00DB3ADC"/>
    <w:rsid w:val="00DC48BD"/>
    <w:rsid w:val="00DF0B66"/>
    <w:rsid w:val="00DF1882"/>
    <w:rsid w:val="00E14672"/>
    <w:rsid w:val="00E22EE3"/>
    <w:rsid w:val="00E235B7"/>
    <w:rsid w:val="00E25587"/>
    <w:rsid w:val="00E35524"/>
    <w:rsid w:val="00E35589"/>
    <w:rsid w:val="00E379A3"/>
    <w:rsid w:val="00E517DF"/>
    <w:rsid w:val="00E60ABB"/>
    <w:rsid w:val="00E67646"/>
    <w:rsid w:val="00E841F2"/>
    <w:rsid w:val="00EA2994"/>
    <w:rsid w:val="00EA612C"/>
    <w:rsid w:val="00EB50ED"/>
    <w:rsid w:val="00EC3FA4"/>
    <w:rsid w:val="00EE5D38"/>
    <w:rsid w:val="00EE79C4"/>
    <w:rsid w:val="00EF1CC5"/>
    <w:rsid w:val="00EF4139"/>
    <w:rsid w:val="00F00B90"/>
    <w:rsid w:val="00F03BE3"/>
    <w:rsid w:val="00F14A08"/>
    <w:rsid w:val="00F274DB"/>
    <w:rsid w:val="00F37691"/>
    <w:rsid w:val="00F41F3E"/>
    <w:rsid w:val="00F42B1D"/>
    <w:rsid w:val="00F42B57"/>
    <w:rsid w:val="00F51566"/>
    <w:rsid w:val="00F51861"/>
    <w:rsid w:val="00F5348D"/>
    <w:rsid w:val="00F63177"/>
    <w:rsid w:val="00F64691"/>
    <w:rsid w:val="00F70B85"/>
    <w:rsid w:val="00F73584"/>
    <w:rsid w:val="00F80416"/>
    <w:rsid w:val="00F92C94"/>
    <w:rsid w:val="00F95D92"/>
    <w:rsid w:val="00F969EA"/>
    <w:rsid w:val="00FA046B"/>
    <w:rsid w:val="00FA13EE"/>
    <w:rsid w:val="00FA2566"/>
    <w:rsid w:val="00FC0F0E"/>
    <w:rsid w:val="00FC1476"/>
    <w:rsid w:val="00FC335B"/>
    <w:rsid w:val="00FC45C8"/>
    <w:rsid w:val="00FD268D"/>
    <w:rsid w:val="00FD44DD"/>
    <w:rsid w:val="00FD5C34"/>
    <w:rsid w:val="00FE155C"/>
    <w:rsid w:val="00FE45E0"/>
    <w:rsid w:val="00FE6B14"/>
    <w:rsid w:val="00FF76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975A8AE-6281-4FA4-BBE4-895045BD3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EC0"/>
    <w:pPr>
      <w:widowControl w:val="0"/>
      <w:spacing w:after="120"/>
      <w:jc w:val="both"/>
    </w:pPr>
    <w:rPr>
      <w:kern w:val="2"/>
      <w:sz w:val="21"/>
      <w:szCs w:val="24"/>
      <w:lang w:eastAsia="zh-CN"/>
    </w:rPr>
  </w:style>
  <w:style w:type="paragraph" w:styleId="Heading1">
    <w:name w:val="heading 1"/>
    <w:next w:val="Normal"/>
    <w:link w:val="Heading1Char"/>
    <w:qFormat/>
    <w:rsid w:val="0071498D"/>
    <w:pPr>
      <w:keepNext/>
      <w:keepLines/>
      <w:numPr>
        <w:numId w:val="30"/>
      </w:numPr>
      <w:pBdr>
        <w:top w:val="single" w:sz="12" w:space="3" w:color="auto"/>
      </w:pBdr>
      <w:spacing w:before="240" w:after="180"/>
      <w:outlineLvl w:val="0"/>
    </w:pPr>
    <w:rPr>
      <w:rFonts w:ascii="Arial" w:hAnsi="Arial"/>
      <w:sz w:val="36"/>
      <w:lang w:val="en-GB"/>
    </w:rPr>
  </w:style>
  <w:style w:type="paragraph" w:styleId="Heading2">
    <w:name w:val="heading 2"/>
    <w:basedOn w:val="Normal"/>
    <w:next w:val="Normal"/>
    <w:qFormat/>
    <w:rsid w:val="00364700"/>
    <w:pPr>
      <w:keepNext/>
      <w:numPr>
        <w:ilvl w:val="1"/>
        <w:numId w:val="9"/>
      </w:numPr>
      <w:spacing w:before="240" w:after="60"/>
      <w:outlineLvl w:val="1"/>
    </w:pPr>
    <w:rPr>
      <w:rFonts w:ascii="Arial" w:hAnsi="Arial" w:cs="Arial"/>
      <w:b/>
      <w:bCs/>
      <w:i/>
      <w:iCs/>
      <w:sz w:val="28"/>
      <w:szCs w:val="21"/>
    </w:rPr>
  </w:style>
  <w:style w:type="paragraph" w:styleId="Heading3">
    <w:name w:val="heading 3"/>
    <w:basedOn w:val="Normal"/>
    <w:next w:val="Normal"/>
    <w:qFormat/>
    <w:rsid w:val="00CB73BA"/>
    <w:pPr>
      <w:keepNext/>
      <w:numPr>
        <w:ilvl w:val="2"/>
        <w:numId w:val="9"/>
      </w:numPr>
      <w:spacing w:before="240" w:after="60"/>
      <w:outlineLvl w:val="2"/>
    </w:pPr>
    <w:rPr>
      <w:rFonts w:ascii="Arial" w:hAnsi="Arial" w:cs="Arial"/>
      <w:b/>
      <w:bCs/>
      <w:sz w:val="26"/>
      <w:szCs w:val="26"/>
    </w:rPr>
  </w:style>
  <w:style w:type="paragraph" w:styleId="Heading4">
    <w:name w:val="heading 4"/>
    <w:basedOn w:val="Normal"/>
    <w:next w:val="Normal"/>
    <w:qFormat/>
    <w:rsid w:val="00514892"/>
    <w:pPr>
      <w:keepNext/>
      <w:numPr>
        <w:ilvl w:val="3"/>
        <w:numId w:val="9"/>
      </w:numPr>
      <w:spacing w:before="240" w:after="60"/>
      <w:outlineLvl w:val="3"/>
    </w:pPr>
    <w:rPr>
      <w:b/>
      <w:bCs/>
      <w:sz w:val="28"/>
      <w:szCs w:val="28"/>
    </w:rPr>
  </w:style>
  <w:style w:type="paragraph" w:styleId="Heading5">
    <w:name w:val="heading 5"/>
    <w:basedOn w:val="Normal"/>
    <w:next w:val="Normal"/>
    <w:qFormat/>
    <w:rsid w:val="00514892"/>
    <w:pPr>
      <w:numPr>
        <w:ilvl w:val="4"/>
        <w:numId w:val="9"/>
      </w:numPr>
      <w:spacing w:before="240" w:after="60"/>
      <w:outlineLvl w:val="4"/>
    </w:pPr>
    <w:rPr>
      <w:b/>
      <w:bCs/>
      <w:i/>
      <w:iCs/>
      <w:sz w:val="26"/>
      <w:szCs w:val="26"/>
    </w:rPr>
  </w:style>
  <w:style w:type="paragraph" w:styleId="Heading6">
    <w:name w:val="heading 6"/>
    <w:basedOn w:val="Normal"/>
    <w:next w:val="Normal"/>
    <w:qFormat/>
    <w:rsid w:val="00514892"/>
    <w:pPr>
      <w:numPr>
        <w:ilvl w:val="5"/>
        <w:numId w:val="9"/>
      </w:numPr>
      <w:spacing w:before="240" w:after="60"/>
      <w:outlineLvl w:val="5"/>
    </w:pPr>
    <w:rPr>
      <w:b/>
      <w:bCs/>
      <w:sz w:val="22"/>
      <w:szCs w:val="22"/>
    </w:rPr>
  </w:style>
  <w:style w:type="paragraph" w:styleId="Heading7">
    <w:name w:val="heading 7"/>
    <w:basedOn w:val="Normal"/>
    <w:next w:val="Normal"/>
    <w:qFormat/>
    <w:rsid w:val="00514892"/>
    <w:pPr>
      <w:numPr>
        <w:ilvl w:val="6"/>
        <w:numId w:val="9"/>
      </w:numPr>
      <w:spacing w:before="240" w:after="60"/>
      <w:outlineLvl w:val="6"/>
    </w:pPr>
    <w:rPr>
      <w:sz w:val="24"/>
    </w:rPr>
  </w:style>
  <w:style w:type="paragraph" w:styleId="Heading8">
    <w:name w:val="heading 8"/>
    <w:basedOn w:val="Normal"/>
    <w:next w:val="Normal"/>
    <w:qFormat/>
    <w:rsid w:val="00514892"/>
    <w:pPr>
      <w:numPr>
        <w:ilvl w:val="7"/>
        <w:numId w:val="9"/>
      </w:numPr>
      <w:spacing w:before="240" w:after="60"/>
      <w:outlineLvl w:val="7"/>
    </w:pPr>
    <w:rPr>
      <w:i/>
      <w:iCs/>
      <w:sz w:val="24"/>
    </w:rPr>
  </w:style>
  <w:style w:type="paragraph" w:styleId="Heading9">
    <w:name w:val="heading 9"/>
    <w:basedOn w:val="Normal"/>
    <w:next w:val="Normal"/>
    <w:qFormat/>
    <w:rsid w:val="00514892"/>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val="en-GB"/>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style>
  <w:style w:type="table" w:styleId="TableGrid">
    <w:name w:val="Table Grid"/>
    <w:basedOn w:val="TableNormal"/>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uiPriority w:val="35"/>
    <w:qFormat/>
    <w:rsid w:val="00D0325B"/>
    <w:rPr>
      <w:b/>
      <w:bCs/>
      <w:sz w:val="2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rsid w:val="00032304"/>
    <w:pPr>
      <w:tabs>
        <w:tab w:val="center" w:pos="4153"/>
        <w:tab w:val="right" w:pos="8306"/>
      </w:tabs>
    </w:pPr>
  </w:style>
  <w:style w:type="paragraph" w:styleId="Footer">
    <w:name w:val="footer"/>
    <w:basedOn w:val="Normal"/>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styleId="PageNumber">
    <w:name w:val="page number"/>
    <w:basedOn w:val="DefaultParagraphFont"/>
    <w:rsid w:val="00C91C28"/>
  </w:style>
  <w:style w:type="paragraph" w:customStyle="1" w:styleId="TAL">
    <w:name w:val="TAL"/>
    <w:basedOn w:val="Normal"/>
    <w:link w:val="TALChar"/>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basedOn w:val="Normal"/>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Title">
    <w:name w:val="Title"/>
    <w:basedOn w:val="Normal"/>
    <w:next w:val="Normal"/>
    <w:link w:val="TitleChar"/>
    <w:qFormat/>
    <w:rsid w:val="00431ED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31EDE"/>
    <w:rPr>
      <w:rFonts w:ascii="Calibri Light" w:eastAsia="Times New Roman" w:hAnsi="Calibri Light" w:cs="Times New Roman"/>
      <w:b/>
      <w:bCs/>
      <w:kern w:val="28"/>
      <w:sz w:val="32"/>
      <w:szCs w:val="32"/>
      <w:lang w:eastAsia="zh-CN"/>
    </w:rPr>
  </w:style>
  <w:style w:type="paragraph" w:styleId="BalloonText">
    <w:name w:val="Balloon Text"/>
    <w:basedOn w:val="Normal"/>
    <w:link w:val="BalloonTextChar"/>
    <w:rsid w:val="000258AE"/>
    <w:rPr>
      <w:rFonts w:ascii="Segoe UI" w:hAnsi="Segoe UI" w:cs="Segoe UI"/>
      <w:sz w:val="18"/>
      <w:szCs w:val="18"/>
    </w:rPr>
  </w:style>
  <w:style w:type="character" w:customStyle="1" w:styleId="BalloonTextChar">
    <w:name w:val="Balloon Text Char"/>
    <w:basedOn w:val="DefaultParagraphFont"/>
    <w:link w:val="BalloonText"/>
    <w:rsid w:val="000258AE"/>
    <w:rPr>
      <w:rFonts w:ascii="Segoe UI" w:hAnsi="Segoe UI" w:cs="Segoe UI"/>
      <w:kern w:val="2"/>
      <w:sz w:val="18"/>
      <w:szCs w:val="18"/>
      <w:lang w:eastAsia="zh-CN"/>
    </w:rPr>
  </w:style>
  <w:style w:type="character" w:styleId="PlaceholderText">
    <w:name w:val="Placeholder Text"/>
    <w:basedOn w:val="DefaultParagraphFont"/>
    <w:uiPriority w:val="99"/>
    <w:semiHidden/>
    <w:rsid w:val="00B0796B"/>
    <w:rPr>
      <w:color w:val="808080"/>
    </w:rPr>
  </w:style>
  <w:style w:type="character" w:styleId="CommentReference">
    <w:name w:val="annotation reference"/>
    <w:basedOn w:val="DefaultParagraphFont"/>
    <w:rsid w:val="0079609C"/>
    <w:rPr>
      <w:sz w:val="16"/>
      <w:szCs w:val="16"/>
    </w:rPr>
  </w:style>
  <w:style w:type="paragraph" w:styleId="CommentText">
    <w:name w:val="annotation text"/>
    <w:basedOn w:val="Normal"/>
    <w:link w:val="CommentTextChar"/>
    <w:rsid w:val="0079609C"/>
    <w:rPr>
      <w:sz w:val="20"/>
      <w:szCs w:val="20"/>
    </w:rPr>
  </w:style>
  <w:style w:type="character" w:customStyle="1" w:styleId="CommentTextChar">
    <w:name w:val="Comment Text Char"/>
    <w:basedOn w:val="DefaultParagraphFont"/>
    <w:link w:val="CommentText"/>
    <w:rsid w:val="0079609C"/>
    <w:rPr>
      <w:kern w:val="2"/>
      <w:lang w:eastAsia="zh-CN"/>
    </w:rPr>
  </w:style>
  <w:style w:type="paragraph" w:styleId="CommentSubject">
    <w:name w:val="annotation subject"/>
    <w:basedOn w:val="CommentText"/>
    <w:next w:val="CommentText"/>
    <w:link w:val="CommentSubjectChar"/>
    <w:rsid w:val="0079609C"/>
    <w:rPr>
      <w:b/>
      <w:bCs/>
    </w:rPr>
  </w:style>
  <w:style w:type="character" w:customStyle="1" w:styleId="CommentSubjectChar">
    <w:name w:val="Comment Subject Char"/>
    <w:basedOn w:val="CommentTextChar"/>
    <w:link w:val="CommentSubject"/>
    <w:rsid w:val="0079609C"/>
    <w:rPr>
      <w:b/>
      <w:bCs/>
      <w:kern w:val="2"/>
      <w:lang w:eastAsia="zh-CN"/>
    </w:rPr>
  </w:style>
  <w:style w:type="paragraph" w:styleId="FootnoteText">
    <w:name w:val="footnote text"/>
    <w:basedOn w:val="Normal"/>
    <w:link w:val="FootnoteTextChar"/>
    <w:rsid w:val="0079609C"/>
    <w:rPr>
      <w:sz w:val="20"/>
      <w:szCs w:val="20"/>
    </w:rPr>
  </w:style>
  <w:style w:type="character" w:customStyle="1" w:styleId="FootnoteTextChar">
    <w:name w:val="Footnote Text Char"/>
    <w:basedOn w:val="DefaultParagraphFont"/>
    <w:link w:val="FootnoteText"/>
    <w:rsid w:val="0079609C"/>
    <w:rPr>
      <w:kern w:val="2"/>
      <w:lang w:eastAsia="zh-CN"/>
    </w:rPr>
  </w:style>
  <w:style w:type="character" w:styleId="FootnoteReference">
    <w:name w:val="footnote reference"/>
    <w:basedOn w:val="DefaultParagraphFont"/>
    <w:rsid w:val="0079609C"/>
    <w:rPr>
      <w:vertAlign w:val="superscript"/>
    </w:rPr>
  </w:style>
  <w:style w:type="character" w:customStyle="1" w:styleId="Heading1Char">
    <w:name w:val="Heading 1 Char"/>
    <w:basedOn w:val="DefaultParagraphFont"/>
    <w:link w:val="Heading1"/>
    <w:rsid w:val="003606DF"/>
    <w:rPr>
      <w:rFonts w:ascii="Arial" w:hAnsi="Arial"/>
      <w:sz w:val="36"/>
      <w:lang w:val="en-GB"/>
    </w:rPr>
  </w:style>
  <w:style w:type="table" w:styleId="GridTable4-Accent1">
    <w:name w:val="Grid Table 4 Accent 1"/>
    <w:basedOn w:val="TableNormal"/>
    <w:uiPriority w:val="49"/>
    <w:rsid w:val="004E02C2"/>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210312">
      <w:bodyDiv w:val="1"/>
      <w:marLeft w:val="0"/>
      <w:marRight w:val="0"/>
      <w:marTop w:val="0"/>
      <w:marBottom w:val="0"/>
      <w:divBdr>
        <w:top w:val="none" w:sz="0" w:space="0" w:color="auto"/>
        <w:left w:val="none" w:sz="0" w:space="0" w:color="auto"/>
        <w:bottom w:val="none" w:sz="0" w:space="0" w:color="auto"/>
        <w:right w:val="none" w:sz="0" w:space="0" w:color="auto"/>
      </w:divBdr>
      <w:divsChild>
        <w:div w:id="14696139">
          <w:marLeft w:val="0"/>
          <w:marRight w:val="0"/>
          <w:marTop w:val="0"/>
          <w:marBottom w:val="0"/>
          <w:divBdr>
            <w:top w:val="none" w:sz="0" w:space="0" w:color="auto"/>
            <w:left w:val="none" w:sz="0" w:space="0" w:color="auto"/>
            <w:bottom w:val="none" w:sz="0" w:space="0" w:color="auto"/>
            <w:right w:val="none" w:sz="0" w:space="0" w:color="auto"/>
          </w:divBdr>
        </w:div>
      </w:divsChild>
    </w:div>
    <w:div w:id="382337270">
      <w:bodyDiv w:val="1"/>
      <w:marLeft w:val="0"/>
      <w:marRight w:val="0"/>
      <w:marTop w:val="0"/>
      <w:marBottom w:val="0"/>
      <w:divBdr>
        <w:top w:val="none" w:sz="0" w:space="0" w:color="auto"/>
        <w:left w:val="none" w:sz="0" w:space="0" w:color="auto"/>
        <w:bottom w:val="none" w:sz="0" w:space="0" w:color="auto"/>
        <w:right w:val="none" w:sz="0" w:space="0" w:color="auto"/>
      </w:divBdr>
      <w:divsChild>
        <w:div w:id="1031145663">
          <w:marLeft w:val="0"/>
          <w:marRight w:val="0"/>
          <w:marTop w:val="0"/>
          <w:marBottom w:val="0"/>
          <w:divBdr>
            <w:top w:val="none" w:sz="0" w:space="0" w:color="auto"/>
            <w:left w:val="none" w:sz="0" w:space="0" w:color="auto"/>
            <w:bottom w:val="none" w:sz="0" w:space="0" w:color="auto"/>
            <w:right w:val="none" w:sz="0" w:space="0" w:color="auto"/>
          </w:divBdr>
        </w:div>
      </w:divsChild>
    </w:div>
    <w:div w:id="638145306">
      <w:bodyDiv w:val="1"/>
      <w:marLeft w:val="0"/>
      <w:marRight w:val="0"/>
      <w:marTop w:val="0"/>
      <w:marBottom w:val="0"/>
      <w:divBdr>
        <w:top w:val="none" w:sz="0" w:space="0" w:color="auto"/>
        <w:left w:val="none" w:sz="0" w:space="0" w:color="auto"/>
        <w:bottom w:val="none" w:sz="0" w:space="0" w:color="auto"/>
        <w:right w:val="none" w:sz="0" w:space="0" w:color="auto"/>
      </w:divBdr>
      <w:divsChild>
        <w:div w:id="1094715310">
          <w:marLeft w:val="0"/>
          <w:marRight w:val="0"/>
          <w:marTop w:val="0"/>
          <w:marBottom w:val="0"/>
          <w:divBdr>
            <w:top w:val="none" w:sz="0" w:space="0" w:color="auto"/>
            <w:left w:val="none" w:sz="0" w:space="0" w:color="auto"/>
            <w:bottom w:val="none" w:sz="0" w:space="0" w:color="auto"/>
            <w:right w:val="none" w:sz="0" w:space="0" w:color="auto"/>
          </w:divBdr>
        </w:div>
      </w:divsChild>
    </w:div>
    <w:div w:id="784275966">
      <w:bodyDiv w:val="1"/>
      <w:marLeft w:val="0"/>
      <w:marRight w:val="0"/>
      <w:marTop w:val="0"/>
      <w:marBottom w:val="0"/>
      <w:divBdr>
        <w:top w:val="none" w:sz="0" w:space="0" w:color="auto"/>
        <w:left w:val="none" w:sz="0" w:space="0" w:color="auto"/>
        <w:bottom w:val="none" w:sz="0" w:space="0" w:color="auto"/>
        <w:right w:val="none" w:sz="0" w:space="0" w:color="auto"/>
      </w:divBdr>
      <w:divsChild>
        <w:div w:id="136338763">
          <w:marLeft w:val="0"/>
          <w:marRight w:val="0"/>
          <w:marTop w:val="0"/>
          <w:marBottom w:val="0"/>
          <w:divBdr>
            <w:top w:val="none" w:sz="0" w:space="0" w:color="auto"/>
            <w:left w:val="none" w:sz="0" w:space="0" w:color="auto"/>
            <w:bottom w:val="none" w:sz="0" w:space="0" w:color="auto"/>
            <w:right w:val="none" w:sz="0" w:space="0" w:color="auto"/>
          </w:divBdr>
        </w:div>
      </w:divsChild>
    </w:div>
    <w:div w:id="846210650">
      <w:bodyDiv w:val="1"/>
      <w:marLeft w:val="0"/>
      <w:marRight w:val="0"/>
      <w:marTop w:val="0"/>
      <w:marBottom w:val="0"/>
      <w:divBdr>
        <w:top w:val="none" w:sz="0" w:space="0" w:color="auto"/>
        <w:left w:val="none" w:sz="0" w:space="0" w:color="auto"/>
        <w:bottom w:val="none" w:sz="0" w:space="0" w:color="auto"/>
        <w:right w:val="none" w:sz="0" w:space="0" w:color="auto"/>
      </w:divBdr>
      <w:divsChild>
        <w:div w:id="257057336">
          <w:marLeft w:val="0"/>
          <w:marRight w:val="0"/>
          <w:marTop w:val="0"/>
          <w:marBottom w:val="0"/>
          <w:divBdr>
            <w:top w:val="none" w:sz="0" w:space="0" w:color="auto"/>
            <w:left w:val="none" w:sz="0" w:space="0" w:color="auto"/>
            <w:bottom w:val="none" w:sz="0" w:space="0" w:color="auto"/>
            <w:right w:val="none" w:sz="0" w:space="0" w:color="auto"/>
          </w:divBdr>
        </w:div>
      </w:divsChild>
    </w:div>
    <w:div w:id="858546523">
      <w:bodyDiv w:val="1"/>
      <w:marLeft w:val="0"/>
      <w:marRight w:val="0"/>
      <w:marTop w:val="0"/>
      <w:marBottom w:val="0"/>
      <w:divBdr>
        <w:top w:val="none" w:sz="0" w:space="0" w:color="auto"/>
        <w:left w:val="none" w:sz="0" w:space="0" w:color="auto"/>
        <w:bottom w:val="none" w:sz="0" w:space="0" w:color="auto"/>
        <w:right w:val="none" w:sz="0" w:space="0" w:color="auto"/>
      </w:divBdr>
      <w:divsChild>
        <w:div w:id="1858228054">
          <w:marLeft w:val="0"/>
          <w:marRight w:val="0"/>
          <w:marTop w:val="0"/>
          <w:marBottom w:val="0"/>
          <w:divBdr>
            <w:top w:val="none" w:sz="0" w:space="0" w:color="auto"/>
            <w:left w:val="none" w:sz="0" w:space="0" w:color="auto"/>
            <w:bottom w:val="none" w:sz="0" w:space="0" w:color="auto"/>
            <w:right w:val="none" w:sz="0" w:space="0" w:color="auto"/>
          </w:divBdr>
        </w:div>
      </w:divsChild>
    </w:div>
    <w:div w:id="884174619">
      <w:bodyDiv w:val="1"/>
      <w:marLeft w:val="0"/>
      <w:marRight w:val="0"/>
      <w:marTop w:val="0"/>
      <w:marBottom w:val="0"/>
      <w:divBdr>
        <w:top w:val="none" w:sz="0" w:space="0" w:color="auto"/>
        <w:left w:val="none" w:sz="0" w:space="0" w:color="auto"/>
        <w:bottom w:val="none" w:sz="0" w:space="0" w:color="auto"/>
        <w:right w:val="none" w:sz="0" w:space="0" w:color="auto"/>
      </w:divBdr>
      <w:divsChild>
        <w:div w:id="849569280">
          <w:marLeft w:val="0"/>
          <w:marRight w:val="0"/>
          <w:marTop w:val="0"/>
          <w:marBottom w:val="0"/>
          <w:divBdr>
            <w:top w:val="none" w:sz="0" w:space="0" w:color="auto"/>
            <w:left w:val="none" w:sz="0" w:space="0" w:color="auto"/>
            <w:bottom w:val="none" w:sz="0" w:space="0" w:color="auto"/>
            <w:right w:val="none" w:sz="0" w:space="0" w:color="auto"/>
          </w:divBdr>
        </w:div>
      </w:divsChild>
    </w:div>
    <w:div w:id="1030760125">
      <w:bodyDiv w:val="1"/>
      <w:marLeft w:val="0"/>
      <w:marRight w:val="0"/>
      <w:marTop w:val="0"/>
      <w:marBottom w:val="0"/>
      <w:divBdr>
        <w:top w:val="none" w:sz="0" w:space="0" w:color="auto"/>
        <w:left w:val="none" w:sz="0" w:space="0" w:color="auto"/>
        <w:bottom w:val="none" w:sz="0" w:space="0" w:color="auto"/>
        <w:right w:val="none" w:sz="0" w:space="0" w:color="auto"/>
      </w:divBdr>
      <w:divsChild>
        <w:div w:id="1899974506">
          <w:marLeft w:val="0"/>
          <w:marRight w:val="0"/>
          <w:marTop w:val="0"/>
          <w:marBottom w:val="0"/>
          <w:divBdr>
            <w:top w:val="none" w:sz="0" w:space="0" w:color="auto"/>
            <w:left w:val="none" w:sz="0" w:space="0" w:color="auto"/>
            <w:bottom w:val="none" w:sz="0" w:space="0" w:color="auto"/>
            <w:right w:val="none" w:sz="0" w:space="0" w:color="auto"/>
          </w:divBdr>
        </w:div>
      </w:divsChild>
    </w:div>
    <w:div w:id="1865749771">
      <w:bodyDiv w:val="1"/>
      <w:marLeft w:val="0"/>
      <w:marRight w:val="0"/>
      <w:marTop w:val="0"/>
      <w:marBottom w:val="0"/>
      <w:divBdr>
        <w:top w:val="none" w:sz="0" w:space="0" w:color="auto"/>
        <w:left w:val="none" w:sz="0" w:space="0" w:color="auto"/>
        <w:bottom w:val="none" w:sz="0" w:space="0" w:color="auto"/>
        <w:right w:val="none" w:sz="0" w:space="0" w:color="auto"/>
      </w:divBdr>
      <w:divsChild>
        <w:div w:id="949554673">
          <w:marLeft w:val="0"/>
          <w:marRight w:val="0"/>
          <w:marTop w:val="0"/>
          <w:marBottom w:val="0"/>
          <w:divBdr>
            <w:top w:val="none" w:sz="0" w:space="0" w:color="auto"/>
            <w:left w:val="none" w:sz="0" w:space="0" w:color="auto"/>
            <w:bottom w:val="none" w:sz="0" w:space="0" w:color="auto"/>
            <w:right w:val="none" w:sz="0" w:space="0" w:color="auto"/>
          </w:divBdr>
        </w:div>
      </w:divsChild>
    </w:div>
    <w:div w:id="1872108474">
      <w:bodyDiv w:val="1"/>
      <w:marLeft w:val="0"/>
      <w:marRight w:val="0"/>
      <w:marTop w:val="0"/>
      <w:marBottom w:val="0"/>
      <w:divBdr>
        <w:top w:val="none" w:sz="0" w:space="0" w:color="auto"/>
        <w:left w:val="none" w:sz="0" w:space="0" w:color="auto"/>
        <w:bottom w:val="none" w:sz="0" w:space="0" w:color="auto"/>
        <w:right w:val="none" w:sz="0" w:space="0" w:color="auto"/>
      </w:divBdr>
      <w:divsChild>
        <w:div w:id="589200696">
          <w:marLeft w:val="0"/>
          <w:marRight w:val="0"/>
          <w:marTop w:val="0"/>
          <w:marBottom w:val="0"/>
          <w:divBdr>
            <w:top w:val="none" w:sz="0" w:space="0" w:color="auto"/>
            <w:left w:val="none" w:sz="0" w:space="0" w:color="auto"/>
            <w:bottom w:val="none" w:sz="0" w:space="0" w:color="auto"/>
            <w:right w:val="none" w:sz="0" w:space="0" w:color="auto"/>
          </w:divBdr>
        </w:div>
      </w:divsChild>
    </w:div>
    <w:div w:id="18900652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445">
          <w:marLeft w:val="0"/>
          <w:marRight w:val="0"/>
          <w:marTop w:val="0"/>
          <w:marBottom w:val="0"/>
          <w:divBdr>
            <w:top w:val="none" w:sz="0" w:space="0" w:color="auto"/>
            <w:left w:val="none" w:sz="0" w:space="0" w:color="auto"/>
            <w:bottom w:val="none" w:sz="0" w:space="0" w:color="auto"/>
            <w:right w:val="none" w:sz="0" w:space="0" w:color="auto"/>
          </w:divBdr>
        </w:div>
      </w:divsChild>
    </w:div>
    <w:div w:id="2127237340">
      <w:bodyDiv w:val="1"/>
      <w:marLeft w:val="0"/>
      <w:marRight w:val="0"/>
      <w:marTop w:val="0"/>
      <w:marBottom w:val="0"/>
      <w:divBdr>
        <w:top w:val="none" w:sz="0" w:space="0" w:color="auto"/>
        <w:left w:val="none" w:sz="0" w:space="0" w:color="auto"/>
        <w:bottom w:val="none" w:sz="0" w:space="0" w:color="auto"/>
        <w:right w:val="none" w:sz="0" w:space="0" w:color="auto"/>
      </w:divBdr>
      <w:divsChild>
        <w:div w:id="42021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480E4-3288-4FBD-BA44-2FB1C4096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Pages>
  <Words>1630</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Source:</vt:lpstr>
    </vt:vector>
  </TitlesOfParts>
  <Company>Qualcomm Europe</Company>
  <LinksUpToDate>false</LinksUpToDate>
  <CharactersWithSpaces>10900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Qualcomm</dc:creator>
  <cp:keywords/>
  <dc:description/>
  <cp:lastModifiedBy>Dhanda, Mungal</cp:lastModifiedBy>
  <cp:revision>44</cp:revision>
  <cp:lastPrinted>2008-10-09T18:58:00Z</cp:lastPrinted>
  <dcterms:created xsi:type="dcterms:W3CDTF">2015-02-24T16:43:00Z</dcterms:created>
  <dcterms:modified xsi:type="dcterms:W3CDTF">2015-03-03T16:39:00Z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742517372</vt:i4>
  </property>
  <property fmtid="{D5CDD505-2E9C-101B-9397-08002B2CF9AE}" pid="3" name="_NewReviewCycle">
    <vt:lpwstr/>
  </property>
  <property fmtid="{D5CDD505-2E9C-101B-9397-08002B2CF9AE}" pid="4" name="_EmailSubject">
    <vt:lpwstr>frame structure text</vt:lpwstr>
  </property>
  <property fmtid="{D5CDD505-2E9C-101B-9397-08002B2CF9AE}" pid="5" name="_AuthorEmail">
    <vt:lpwstr>wangxiao@qti.qualcomm.com</vt:lpwstr>
  </property>
  <property fmtid="{D5CDD505-2E9C-101B-9397-08002B2CF9AE}" pid="6" name="_AuthorEmailDisplayName">
    <vt:lpwstr>Wang, Xiaofeng</vt:lpwstr>
  </property>
  <property fmtid="{D5CDD505-2E9C-101B-9397-08002B2CF9AE}" pid="7" name="_ReviewingToolsShownOnce">
    <vt:lpwstr/>
  </property>
</Properties>
</file>